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pPr>
      <w:bookmarkStart w:id="0" w:name="OLE_LINK24"/>
      <w:bookmarkStart w:id="1" w:name="OLE_LINK12"/>
      <w:bookmarkStart w:id="2" w:name="OLE_LINK34"/>
      <w:bookmarkStart w:id="3" w:name="OLE_LINK33"/>
      <w:bookmarkStart w:id="4" w:name="OLE_LINK13"/>
      <w:r>
        <w:rPr>
          <w:rFonts w:ascii="Arial" w:hAnsi="Arial" w:cs="Arial"/>
          <w:b/>
        </w:rPr>
        <w:t>3GPP TSG RAN WG1 Meeting #101</w:t>
      </w:r>
      <w:r>
        <w:rPr>
          <w:rFonts w:hint="eastAsia" w:ascii="Arial" w:hAnsi="Arial" w:cs="Arial"/>
          <w:b/>
        </w:rPr>
        <w:t>-e</w:t>
      </w:r>
      <w:r>
        <w:rPr>
          <w:rFonts w:ascii="Arial" w:hAnsi="Arial" w:cs="Arial"/>
          <w:b/>
        </w:rPr>
        <w:t xml:space="preserve">    </w:t>
      </w:r>
      <w:r>
        <w:rPr>
          <w:rFonts w:hint="eastAsia" w:ascii="Arial" w:hAnsi="Arial" w:cs="Arial"/>
          <w:b/>
        </w:rPr>
        <w:t xml:space="preserve">                                   R1-2003479</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ascii="Arial" w:hAnsi="Arial" w:cs="Arial"/>
          <w:b/>
        </w:rPr>
        <w:t>e-Meeting, May 25</w:t>
      </w:r>
      <w:r>
        <w:rPr>
          <w:rFonts w:ascii="Arial" w:hAnsi="Arial" w:cs="Arial"/>
          <w:b/>
          <w:vertAlign w:val="superscript"/>
        </w:rPr>
        <w:t>th</w:t>
      </w:r>
      <w:r>
        <w:rPr>
          <w:rFonts w:ascii="Arial" w:hAnsi="Arial" w:cs="Arial"/>
          <w:b/>
        </w:rPr>
        <w:t xml:space="preserve"> – June 5</w:t>
      </w:r>
      <w:r>
        <w:rPr>
          <w:rFonts w:ascii="Arial" w:hAnsi="Arial" w:cs="Arial"/>
          <w:b/>
          <w:vertAlign w:val="superscript"/>
        </w:rPr>
        <w:t>th</w:t>
      </w:r>
      <w:r>
        <w:rPr>
          <w:rFonts w:ascii="Arial" w:hAnsi="Arial" w:cs="Arial"/>
          <w:b/>
        </w:rPr>
        <w:t>, 2020</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Title:            </w:t>
      </w:r>
      <w:r>
        <w:rPr>
          <w:rFonts w:hint="eastAsia" w:ascii="Arial" w:hAnsi="Arial" w:eastAsia="宋体" w:cs="Arial"/>
          <w:b/>
        </w:rPr>
        <w:t>Additional scenarios for evaluation on positioning enhancements</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2</w:t>
      </w:r>
      <w:r>
        <w:rPr>
          <w:rFonts w:hint="eastAsia" w:ascii="Arial" w:hAnsi="Arial" w:eastAsia="宋体" w:cs="Arial"/>
          <w:b/>
        </w:rPr>
        <w:t>.1</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3GPP TSG RAN Meeting #86,</w:t>
      </w:r>
      <w:r>
        <w:rPr>
          <w:rFonts w:ascii="Times New Roman" w:hAnsi="Times New Roman"/>
          <w:sz w:val="20"/>
          <w:szCs w:val="20"/>
        </w:rPr>
        <w:t xml:space="preserve"> </w:t>
      </w:r>
      <w:r>
        <w:rPr>
          <w:rFonts w:hint="eastAsia" w:ascii="Times New Roman" w:hAnsi="Times New Roman"/>
          <w:sz w:val="20"/>
          <w:szCs w:val="20"/>
        </w:rPr>
        <w:t>a new study item was agreed</w:t>
      </w:r>
      <w:r>
        <w:rPr>
          <w:rFonts w:ascii="Times New Roman" w:hAnsi="Times New Roman"/>
          <w:sz w:val="20"/>
          <w:szCs w:val="20"/>
        </w:rPr>
        <w:t xml:space="preserve"> </w:t>
      </w:r>
      <w:r>
        <w:rPr>
          <w:rFonts w:hint="eastAsia" w:ascii="Times New Roman" w:hAnsi="Times New Roman"/>
          <w:sz w:val="20"/>
          <w:szCs w:val="20"/>
        </w:rPr>
        <w:t>[1].</w:t>
      </w:r>
      <w:r>
        <w:rPr>
          <w:rFonts w:ascii="Times New Roman" w:hAnsi="Times New Roman"/>
          <w:sz w:val="20"/>
          <w:szCs w:val="20"/>
        </w:rPr>
        <w:t xml:space="preserve"> </w:t>
      </w:r>
      <w:r>
        <w:rPr>
          <w:rFonts w:hint="eastAsia" w:ascii="Times New Roman" w:hAnsi="Times New Roman"/>
          <w:sz w:val="20"/>
          <w:szCs w:val="20"/>
        </w:rPr>
        <w:t>The study item is to address the higher accuracy location requirements resulting from new applications and industry verticals.</w:t>
      </w:r>
      <w:r>
        <w:rPr>
          <w:rFonts w:ascii="Times New Roman" w:hAnsi="Times New Roman"/>
          <w:sz w:val="20"/>
          <w:szCs w:val="20"/>
        </w:rPr>
        <w:t xml:space="preserve"> </w:t>
      </w:r>
      <w:r>
        <w:rPr>
          <w:rFonts w:hint="eastAsia" w:ascii="Times New Roman" w:hAnsi="Times New Roman"/>
          <w:sz w:val="20"/>
          <w:szCs w:val="20"/>
        </w:rPr>
        <w:t>So it</w:t>
      </w:r>
      <w:r>
        <w:rPr>
          <w:rFonts w:ascii="Times New Roman" w:hAnsi="Times New Roman"/>
          <w:sz w:val="20"/>
          <w:szCs w:val="20"/>
        </w:rPr>
        <w:t>’</w:t>
      </w:r>
      <w:r>
        <w:rPr>
          <w:rFonts w:hint="eastAsia" w:ascii="Times New Roman" w:hAnsi="Times New Roman"/>
          <w:sz w:val="20"/>
          <w:szCs w:val="20"/>
        </w:rPr>
        <w:t>s important to find and define some new requirements and corresponding scenarios at this stage,</w:t>
      </w:r>
      <w:r>
        <w:rPr>
          <w:rFonts w:ascii="Times New Roman" w:hAnsi="Times New Roman"/>
          <w:sz w:val="20"/>
          <w:szCs w:val="20"/>
        </w:rPr>
        <w:t xml:space="preserve"> </w:t>
      </w:r>
      <w:r>
        <w:rPr>
          <w:rFonts w:hint="eastAsia" w:ascii="Times New Roman" w:hAnsi="Times New Roman"/>
          <w:sz w:val="20"/>
          <w:szCs w:val="20"/>
        </w:rPr>
        <w:t xml:space="preserve">which would be a common ground for interested companies to evaluate the performance.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w:t>
      </w:r>
      <w:r>
        <w:rPr>
          <w:rFonts w:ascii="Times New Roman" w:hAnsi="Times New Roman"/>
          <w:sz w:val="20"/>
          <w:szCs w:val="20"/>
        </w:rPr>
        <w:t>’</w:t>
      </w:r>
      <w:r>
        <w:rPr>
          <w:rFonts w:hint="eastAsia" w:ascii="Times New Roman" w:hAnsi="Times New Roman"/>
          <w:sz w:val="20"/>
          <w:szCs w:val="20"/>
        </w:rPr>
        <w:t>ll provide our views on additional scenarios for positioning.</w:t>
      </w:r>
    </w:p>
    <w:p>
      <w:pPr>
        <w:pStyle w:val="2"/>
        <w:snapToGrid w:val="0"/>
        <w:spacing w:before="180" w:beforeLines="50" w:after="180" w:afterLines="50"/>
        <w:ind w:left="431" w:hanging="431"/>
        <w:rPr>
          <w:lang w:val="en-US"/>
        </w:rPr>
      </w:pPr>
      <w:r>
        <w:rPr>
          <w:rFonts w:hint="eastAsia"/>
          <w:sz w:val="28"/>
          <w:lang w:val="en-US"/>
        </w:rPr>
        <w:t>Positioning service performance requirements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sz w:val="20"/>
          <w:szCs w:val="20"/>
        </w:rPr>
        <w:t>The SID provides the exemplary performance targets in the justification of the SI [1]</w:t>
      </w:r>
      <w:r>
        <w:rPr>
          <w:rFonts w:hint="eastAsia" w:ascii="Times New Roman" w:hAnsi="Times New Roman"/>
          <w:sz w:val="20"/>
          <w:szCs w:val="20"/>
        </w:rPr>
        <w:fldChar w:fldCharType="begin"/>
      </w:r>
      <w:r>
        <w:rPr>
          <w:rFonts w:hint="eastAsia" w:ascii="Times New Roman" w:hAnsi="Times New Roman"/>
          <w:sz w:val="20"/>
          <w:szCs w:val="20"/>
        </w:rPr>
        <w:instrText xml:space="preserve"> REF _Ref28076734 \r \h </w:instrText>
      </w:r>
      <w:r>
        <w:rPr>
          <w:rFonts w:hint="eastAsia" w:ascii="Times New Roman" w:hAnsi="Times New Roman"/>
          <w:sz w:val="20"/>
          <w:szCs w:val="20"/>
        </w:rPr>
        <w:fldChar w:fldCharType="end"/>
      </w:r>
      <w:r>
        <w:rPr>
          <w:rFonts w:hint="eastAsia" w:ascii="Times New Roman" w:hAnsi="Times New Roman"/>
          <w:sz w:val="20"/>
          <w:szCs w:val="20"/>
        </w:rPr>
        <w:t>: “</w:t>
      </w:r>
      <w:r>
        <w:rPr>
          <w:rFonts w:hint="eastAsia" w:ascii="Times New Roman" w:hAnsi="Times New Roman"/>
          <w:i/>
          <w:iCs/>
          <w:sz w:val="20"/>
          <w:szCs w:val="20"/>
        </w:rPr>
        <w:t>NR Positioning in Rel.17 should evaluate and specify enhancements and solutions to meet the following exemplary performance targets:</w:t>
      </w:r>
    </w:p>
    <w:p>
      <w:pPr>
        <w:snapToGrid w:val="0"/>
        <w:spacing w:before="180" w:beforeLines="50" w:after="180" w:afterLines="50" w:line="240" w:lineRule="auto"/>
        <w:ind w:left="220"/>
        <w:jc w:val="both"/>
        <w:rPr>
          <w:rFonts w:ascii="Times New Roman" w:hAnsi="Times New Roman"/>
          <w:i/>
          <w:iCs/>
          <w:sz w:val="20"/>
          <w:szCs w:val="20"/>
        </w:rPr>
      </w:pPr>
      <w:r>
        <w:rPr>
          <w:rFonts w:hint="eastAsia" w:ascii="Times New Roman" w:hAnsi="Times New Roman"/>
          <w:i/>
          <w:iCs/>
          <w:sz w:val="20"/>
          <w:szCs w:val="20"/>
        </w:rPr>
        <w:t>(a) For general commercial use cases (e.g., TS 22.261):</w:t>
      </w:r>
    </w:p>
    <w:p>
      <w:pPr>
        <w:snapToGrid w:val="0"/>
        <w:spacing w:before="180" w:beforeLines="50" w:after="180" w:afterLines="50" w:line="240" w:lineRule="auto"/>
        <w:ind w:left="440"/>
        <w:jc w:val="both"/>
        <w:rPr>
          <w:rFonts w:ascii="Times New Roman" w:hAnsi="Times New Roman"/>
          <w:i/>
          <w:iCs/>
          <w:sz w:val="20"/>
          <w:szCs w:val="20"/>
        </w:rPr>
      </w:pPr>
      <w:r>
        <w:rPr>
          <w:rFonts w:hint="eastAsia" w:ascii="Times New Roman" w:hAnsi="Times New Roman"/>
          <w:i/>
          <w:iCs/>
          <w:sz w:val="20"/>
          <w:szCs w:val="20"/>
        </w:rPr>
        <w:t>- sub-meter level position accuracy (&lt; 1 m)</w:t>
      </w:r>
    </w:p>
    <w:p>
      <w:pPr>
        <w:snapToGrid w:val="0"/>
        <w:spacing w:before="180" w:beforeLines="50" w:after="180" w:afterLines="50" w:line="240" w:lineRule="auto"/>
        <w:ind w:left="220"/>
        <w:jc w:val="both"/>
        <w:rPr>
          <w:rFonts w:ascii="Times New Roman" w:hAnsi="Times New Roman"/>
          <w:i/>
          <w:iCs/>
          <w:sz w:val="20"/>
          <w:szCs w:val="20"/>
        </w:rPr>
      </w:pPr>
      <w:r>
        <w:rPr>
          <w:rFonts w:hint="eastAsia" w:ascii="Times New Roman" w:hAnsi="Times New Roman"/>
          <w:i/>
          <w:iCs/>
          <w:sz w:val="20"/>
          <w:szCs w:val="20"/>
        </w:rPr>
        <w:t>(b) For IIoT Use Cases (e.g., 22.804):</w:t>
      </w:r>
    </w:p>
    <w:p>
      <w:pPr>
        <w:snapToGrid w:val="0"/>
        <w:spacing w:before="180" w:beforeLines="50" w:after="180" w:afterLines="50" w:line="240" w:lineRule="auto"/>
        <w:ind w:left="440"/>
        <w:jc w:val="both"/>
        <w:rPr>
          <w:rFonts w:ascii="Times New Roman" w:hAnsi="Times New Roman"/>
          <w:i/>
          <w:iCs/>
          <w:sz w:val="20"/>
          <w:szCs w:val="20"/>
        </w:rPr>
      </w:pPr>
      <w:r>
        <w:rPr>
          <w:rFonts w:hint="eastAsia" w:ascii="Times New Roman" w:hAnsi="Times New Roman"/>
          <w:i/>
          <w:iCs/>
          <w:sz w:val="20"/>
          <w:szCs w:val="20"/>
        </w:rPr>
        <w:t>- position accuracy &lt; 0.2 m</w:t>
      </w:r>
    </w:p>
    <w:p>
      <w:pPr>
        <w:snapToGrid w:val="0"/>
        <w:spacing w:before="180" w:beforeLines="50" w:after="180" w:afterLines="50" w:line="240" w:lineRule="auto"/>
        <w:ind w:left="220"/>
        <w:jc w:val="both"/>
        <w:rPr>
          <w:rFonts w:ascii="Times New Roman" w:hAnsi="Times New Roman"/>
          <w:sz w:val="20"/>
          <w:szCs w:val="20"/>
        </w:rPr>
      </w:pPr>
      <w:r>
        <w:rPr>
          <w:rFonts w:hint="eastAsia" w:ascii="Times New Roman" w:hAnsi="Times New Roman"/>
          <w:i/>
          <w:iCs/>
          <w:sz w:val="20"/>
          <w:szCs w:val="20"/>
        </w:rPr>
        <w:t>The target latency requirement is &lt; 100 ms; for some IIoT use cases, latency in the order of 10 ms is desired.</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IIOT positioning requirements, eight IIOT scenarios and different requirements are defined in TR 22.804[4]. Inbound logistics for manufacturing (for driving trajectories of autonomous driving systems) has the strict</w:t>
      </w:r>
      <w:r>
        <w:rPr>
          <w:rFonts w:ascii="Times New Roman" w:hAnsi="Times New Roman"/>
          <w:sz w:val="20"/>
          <w:szCs w:val="20"/>
        </w:rPr>
        <w:t>est</w:t>
      </w:r>
      <w:r>
        <w:rPr>
          <w:rFonts w:hint="eastAsia" w:ascii="Times New Roman" w:hAnsi="Times New Roman"/>
          <w:sz w:val="20"/>
          <w:szCs w:val="20"/>
        </w:rPr>
        <w:t xml:space="preserve"> requirement of latency</w:t>
      </w:r>
      <w:r>
        <w:rPr>
          <w:rFonts w:ascii="Times New Roman" w:hAnsi="Times New Roman"/>
          <w:sz w:val="20"/>
          <w:szCs w:val="20"/>
        </w:rPr>
        <w:t xml:space="preserve"> </w:t>
      </w:r>
      <w:r>
        <w:rPr>
          <w:rFonts w:hint="eastAsia" w:ascii="Times New Roman" w:hAnsi="Times New Roman"/>
          <w:sz w:val="20"/>
          <w:szCs w:val="20"/>
        </w:rPr>
        <w:t>(10ms)</w:t>
      </w:r>
      <w:r>
        <w:rPr>
          <w:rFonts w:ascii="Times New Roman" w:hAnsi="Times New Roman"/>
          <w:sz w:val="20"/>
          <w:szCs w:val="20"/>
        </w:rPr>
        <w:t xml:space="preserve"> </w:t>
      </w:r>
      <w:r>
        <w:rPr>
          <w:rFonts w:hint="eastAsia" w:ascii="Times New Roman" w:hAnsi="Times New Roman"/>
          <w:sz w:val="20"/>
          <w:szCs w:val="20"/>
        </w:rPr>
        <w:t>and inbound logistics for manufacturing (for storage of goods) has the strict</w:t>
      </w:r>
      <w:r>
        <w:rPr>
          <w:rFonts w:ascii="Times New Roman" w:hAnsi="Times New Roman"/>
          <w:sz w:val="20"/>
          <w:szCs w:val="20"/>
        </w:rPr>
        <w:t>est</w:t>
      </w:r>
      <w:r>
        <w:rPr>
          <w:rFonts w:hint="eastAsia" w:ascii="Times New Roman" w:hAnsi="Times New Roman"/>
          <w:sz w:val="20"/>
          <w:szCs w:val="20"/>
        </w:rPr>
        <w:t xml:space="preserve"> requirement of horizontal accuracy</w:t>
      </w:r>
      <w:r>
        <w:rPr>
          <w:rFonts w:ascii="Times New Roman" w:hAnsi="Times New Roman"/>
          <w:sz w:val="20"/>
          <w:szCs w:val="20"/>
        </w:rPr>
        <w:t xml:space="preserve"> </w:t>
      </w:r>
      <w:r>
        <w:rPr>
          <w:rFonts w:hint="eastAsia" w:ascii="Times New Roman" w:hAnsi="Times New Roman"/>
          <w:sz w:val="20"/>
          <w:szCs w:val="20"/>
        </w:rPr>
        <w:t>(0.2m). Meanwhile,</w:t>
      </w:r>
      <w:r>
        <w:rPr>
          <w:rFonts w:ascii="Times New Roman" w:hAnsi="Times New Roman"/>
          <w:sz w:val="20"/>
          <w:szCs w:val="20"/>
        </w:rPr>
        <w:t xml:space="preserve"> </w:t>
      </w:r>
      <w:r>
        <w:rPr>
          <w:rFonts w:hint="eastAsia" w:ascii="Times New Roman" w:hAnsi="Times New Roman"/>
          <w:sz w:val="20"/>
          <w:szCs w:val="20"/>
        </w:rPr>
        <w:t>those two scenarios are main use cases for industrial environment.</w:t>
      </w:r>
      <w:r>
        <w:rPr>
          <w:rFonts w:ascii="Times New Roman" w:hAnsi="Times New Roman"/>
          <w:sz w:val="20"/>
          <w:szCs w:val="20"/>
        </w:rPr>
        <w:t xml:space="preserve"> </w:t>
      </w:r>
      <w:r>
        <w:rPr>
          <w:rFonts w:hint="eastAsia" w:ascii="Times New Roman" w:hAnsi="Times New Roman"/>
          <w:sz w:val="20"/>
          <w:szCs w:val="20"/>
        </w:rPr>
        <w:t>As for other use cases,</w:t>
      </w:r>
      <w:r>
        <w:rPr>
          <w:rFonts w:ascii="Times New Roman" w:hAnsi="Times New Roman"/>
          <w:sz w:val="20"/>
          <w:szCs w:val="20"/>
        </w:rPr>
        <w:t xml:space="preserve"> </w:t>
      </w:r>
      <w:r>
        <w:rPr>
          <w:rFonts w:hint="eastAsia" w:ascii="Times New Roman" w:hAnsi="Times New Roman"/>
          <w:sz w:val="20"/>
          <w:szCs w:val="20"/>
        </w:rPr>
        <w:t>like mobile control panels,</w:t>
      </w:r>
      <w:r>
        <w:rPr>
          <w:rFonts w:ascii="Times New Roman" w:hAnsi="Times New Roman"/>
          <w:sz w:val="20"/>
          <w:szCs w:val="20"/>
        </w:rPr>
        <w:t xml:space="preserve"> </w:t>
      </w:r>
      <w:r>
        <w:rPr>
          <w:rFonts w:hint="eastAsia" w:ascii="Times New Roman" w:hAnsi="Times New Roman"/>
          <w:sz w:val="20"/>
          <w:szCs w:val="20"/>
        </w:rPr>
        <w:t>augmented reality and modular assembly area are looser to latency and accuracy.</w:t>
      </w:r>
      <w:r>
        <w:rPr>
          <w:rFonts w:ascii="Times New Roman" w:hAnsi="Times New Roman"/>
          <w:sz w:val="20"/>
          <w:szCs w:val="20"/>
        </w:rPr>
        <w:t xml:space="preserve"> </w:t>
      </w:r>
      <w:r>
        <w:rPr>
          <w:rFonts w:hint="eastAsia" w:ascii="Times New Roman" w:hAnsi="Times New Roman"/>
          <w:sz w:val="20"/>
          <w:szCs w:val="20"/>
        </w:rPr>
        <w:t>If requirements of inbound logistics are met, so does other use cases.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Regarding the requirement, rather than set up any </w:t>
      </w:r>
      <w:r>
        <w:rPr>
          <w:rFonts w:hint="eastAsia" w:ascii="Times New Roman" w:hAnsi="Times New Roman"/>
          <w:sz w:val="20"/>
          <w:szCs w:val="20"/>
        </w:rPr>
        <w:t>strict</w:t>
      </w:r>
      <w:r>
        <w:rPr>
          <w:rFonts w:ascii="Times New Roman" w:hAnsi="Times New Roman"/>
          <w:sz w:val="20"/>
          <w:szCs w:val="20"/>
        </w:rPr>
        <w:t xml:space="preserve"> metric</w:t>
      </w:r>
      <w:r>
        <w:rPr>
          <w:rFonts w:hint="eastAsia" w:ascii="Times New Roman" w:hAnsi="Times New Roman"/>
          <w:sz w:val="20"/>
          <w:szCs w:val="20"/>
        </w:rPr>
        <w:t>s</w:t>
      </w:r>
      <w:r>
        <w:rPr>
          <w:rFonts w:ascii="Times New Roman" w:hAnsi="Times New Roman"/>
          <w:sz w:val="20"/>
          <w:szCs w:val="20"/>
        </w:rPr>
        <w:t xml:space="preserve">, we should find </w:t>
      </w:r>
      <w:bookmarkStart w:id="5" w:name="OLE_LINK1"/>
      <w:r>
        <w:rPr>
          <w:rFonts w:ascii="Times New Roman" w:hAnsi="Times New Roman"/>
          <w:sz w:val="20"/>
          <w:szCs w:val="20"/>
        </w:rPr>
        <w:t>a loose bound</w:t>
      </w:r>
      <w:bookmarkEnd w:id="5"/>
      <w:r>
        <w:rPr>
          <w:rFonts w:ascii="Times New Roman" w:hAnsi="Times New Roman"/>
          <w:sz w:val="20"/>
          <w:szCs w:val="20"/>
        </w:rPr>
        <w:t xml:space="preserve"> as a start</w:t>
      </w:r>
      <w:r>
        <w:rPr>
          <w:rFonts w:hint="eastAsia" w:ascii="Times New Roman" w:hAnsi="Times New Roman"/>
          <w:sz w:val="20"/>
          <w:szCs w:val="20"/>
        </w:rPr>
        <w:t>ing</w:t>
      </w:r>
      <w:r>
        <w:rPr>
          <w:rFonts w:ascii="Times New Roman" w:hAnsi="Times New Roman"/>
          <w:sz w:val="20"/>
          <w:szCs w:val="20"/>
        </w:rPr>
        <w:t xml:space="preserve"> point. </w:t>
      </w:r>
      <w:r>
        <w:rPr>
          <w:rFonts w:hint="eastAsia" w:ascii="Times New Roman" w:hAnsi="Times New Roman"/>
          <w:sz w:val="20"/>
          <w:szCs w:val="20"/>
        </w:rPr>
        <w:t>For example,</w:t>
      </w:r>
      <w:r>
        <w:rPr>
          <w:rFonts w:ascii="Times New Roman" w:hAnsi="Times New Roman"/>
          <w:sz w:val="20"/>
          <w:szCs w:val="20"/>
        </w:rPr>
        <w:t xml:space="preserve"> </w:t>
      </w:r>
      <w:r>
        <w:rPr>
          <w:rFonts w:hint="eastAsia" w:ascii="Times New Roman" w:hAnsi="Times New Roman"/>
          <w:sz w:val="20"/>
          <w:szCs w:val="20"/>
        </w:rPr>
        <w:t>interested companies need to evaluate if Rel.16 positioning solutions and novel positioning methods can meet the requirement of Rel.17 commercial use cases at first,</w:t>
      </w:r>
      <w:r>
        <w:rPr>
          <w:rFonts w:ascii="Times New Roman" w:hAnsi="Times New Roman"/>
          <w:sz w:val="20"/>
          <w:szCs w:val="20"/>
        </w:rPr>
        <w:t xml:space="preserve"> </w:t>
      </w:r>
      <w:r>
        <w:rPr>
          <w:rFonts w:hint="eastAsia" w:ascii="Times New Roman" w:hAnsi="Times New Roman"/>
          <w:sz w:val="20"/>
          <w:szCs w:val="20"/>
        </w:rPr>
        <w:t>then strict</w:t>
      </w:r>
      <w:r>
        <w:rPr>
          <w:rFonts w:ascii="Times New Roman" w:hAnsi="Times New Roman"/>
          <w:sz w:val="20"/>
          <w:szCs w:val="20"/>
        </w:rPr>
        <w:t>er</w:t>
      </w:r>
      <w:r>
        <w:rPr>
          <w:rFonts w:hint="eastAsia" w:ascii="Times New Roman" w:hAnsi="Times New Roman"/>
          <w:sz w:val="20"/>
          <w:szCs w:val="20"/>
        </w:rPr>
        <w:t xml:space="preserve"> requirements are discussed for next stage. And the same as Rel.16 study phase,</w:t>
      </w:r>
      <w:r>
        <w:rPr>
          <w:rFonts w:ascii="Times New Roman" w:hAnsi="Times New Roman"/>
          <w:sz w:val="20"/>
          <w:szCs w:val="20"/>
        </w:rPr>
        <w:t xml:space="preserve"> </w:t>
      </w:r>
      <w:r>
        <w:rPr>
          <w:rFonts w:hint="eastAsia" w:ascii="Times New Roman" w:hAnsi="Times New Roman"/>
          <w:sz w:val="20"/>
          <w:szCs w:val="20"/>
        </w:rPr>
        <w:t xml:space="preserve">at least CDFs of horizontal positioning errors and vertical positioning errors are used as a performance metrics in NR positioning evaluations. At least the following percentiles of positioning error are analyzed 50%, 67%, 80%, 90%.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for physical layer latency, UE power consumption, scalability/capacity, network deployment complexity, availability, UE and gNB complexity are hard to quantize,</w:t>
      </w:r>
      <w:r>
        <w:rPr>
          <w:rFonts w:ascii="Times New Roman" w:hAnsi="Times New Roman"/>
          <w:sz w:val="20"/>
          <w:szCs w:val="20"/>
        </w:rPr>
        <w:t xml:space="preserve"> </w:t>
      </w:r>
      <w:r>
        <w:rPr>
          <w:rFonts w:hint="eastAsia" w:ascii="Times New Roman" w:hAnsi="Times New Roman"/>
          <w:sz w:val="20"/>
          <w:szCs w:val="20"/>
        </w:rPr>
        <w:t xml:space="preserve">therefore it should be considered during physical layer, high layer and architecture design. </w:t>
      </w:r>
    </w:p>
    <w:p>
      <w:pPr>
        <w:snapToGrid w:val="0"/>
        <w:spacing w:before="180" w:beforeLines="50" w:after="180" w:afterLines="50" w:line="240" w:lineRule="auto"/>
        <w:jc w:val="both"/>
        <w:rPr>
          <w:rFonts w:ascii="Times New Roman" w:hAnsi="Times New Roman" w:eastAsia="微软雅黑"/>
          <w:i/>
          <w:sz w:val="20"/>
          <w:szCs w:val="20"/>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1</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Interested companies need to evaluate if Rel.16 positioning solutions and novel positioning methods can meet the requirement of Rel.17 commercial use cases based on </w:t>
      </w:r>
      <w:r>
        <w:rPr>
          <w:rFonts w:ascii="Times New Roman" w:hAnsi="Times New Roman" w:eastAsia="微软雅黑"/>
          <w:i/>
          <w:sz w:val="20"/>
          <w:szCs w:val="20"/>
        </w:rPr>
        <w:t>a loose bound</w:t>
      </w:r>
      <w:r>
        <w:rPr>
          <w:rFonts w:hint="eastAsia" w:ascii="Times New Roman" w:hAnsi="Times New Roman" w:eastAsia="微软雅黑"/>
          <w:i/>
          <w:sz w:val="20"/>
          <w:szCs w:val="20"/>
        </w:rPr>
        <w:t xml:space="preserve"> requirement at first,</w:t>
      </w:r>
      <w:r>
        <w:rPr>
          <w:rFonts w:ascii="Times New Roman" w:hAnsi="Times New Roman" w:eastAsia="微软雅黑"/>
          <w:i/>
          <w:sz w:val="20"/>
          <w:szCs w:val="20"/>
        </w:rPr>
        <w:t xml:space="preserve"> </w:t>
      </w:r>
      <w:r>
        <w:rPr>
          <w:rFonts w:hint="eastAsia" w:ascii="Times New Roman" w:hAnsi="Times New Roman" w:eastAsia="微软雅黑"/>
          <w:i/>
          <w:sz w:val="20"/>
          <w:szCs w:val="20"/>
        </w:rPr>
        <w:t>then strict</w:t>
      </w:r>
      <w:r>
        <w:rPr>
          <w:rFonts w:ascii="Times New Roman" w:hAnsi="Times New Roman" w:eastAsia="微软雅黑"/>
          <w:i/>
          <w:sz w:val="20"/>
          <w:szCs w:val="20"/>
        </w:rPr>
        <w:t>er</w:t>
      </w:r>
      <w:r>
        <w:rPr>
          <w:rFonts w:hint="eastAsia" w:ascii="Times New Roman" w:hAnsi="Times New Roman" w:eastAsia="微软雅黑"/>
          <w:i/>
          <w:sz w:val="20"/>
          <w:szCs w:val="20"/>
        </w:rPr>
        <w:t xml:space="preserve"> requirements are discussed for next stage. </w:t>
      </w:r>
    </w:p>
    <w:p>
      <w:pPr>
        <w:pStyle w:val="2"/>
        <w:rPr>
          <w:lang w:val="en-US"/>
        </w:rPr>
      </w:pPr>
      <w:r>
        <w:rPr>
          <w:rFonts w:hint="eastAsia"/>
          <w:lang w:val="en-US"/>
        </w:rPr>
        <w:t>Common evaluation parameters for all scenarios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Rel.16 the study phase had already approved evaluation methodology for indoor office,</w:t>
      </w:r>
      <w:r>
        <w:rPr>
          <w:rFonts w:ascii="Times New Roman" w:hAnsi="Times New Roman"/>
          <w:sz w:val="20"/>
          <w:szCs w:val="20"/>
        </w:rPr>
        <w:t xml:space="preserve"> </w:t>
      </w:r>
      <w:r>
        <w:rPr>
          <w:rFonts w:hint="eastAsia" w:ascii="Times New Roman" w:hAnsi="Times New Roman"/>
          <w:sz w:val="20"/>
          <w:szCs w:val="20"/>
        </w:rPr>
        <w:t>UMi street canyon and UMa. The scenario parameters common to all scenarios are detailed in table 6.1.1-1 in TR 38.855[3](appendix A).</w:t>
      </w:r>
      <w:r>
        <w:rPr>
          <w:rFonts w:ascii="Times New Roman" w:hAnsi="Times New Roman"/>
          <w:sz w:val="20"/>
          <w:szCs w:val="20"/>
        </w:rPr>
        <w:t xml:space="preserve"> </w:t>
      </w:r>
      <w:r>
        <w:rPr>
          <w:rFonts w:hint="eastAsia" w:ascii="Times New Roman" w:hAnsi="Times New Roman"/>
          <w:sz w:val="20"/>
          <w:szCs w:val="20"/>
        </w:rPr>
        <w:t>IIOT channel can simply use the same configurations for UE and gNB. But Rel.1</w:t>
      </w:r>
      <w:r>
        <w:rPr>
          <w:rFonts w:hint="eastAsia" w:ascii="Times New Roman" w:hAnsi="Times New Roman"/>
          <w:sz w:val="20"/>
          <w:szCs w:val="20"/>
          <w:lang w:val="en-US" w:eastAsia="zh-CN"/>
        </w:rPr>
        <w:t>7</w:t>
      </w:r>
      <w:r>
        <w:rPr>
          <w:rFonts w:hint="eastAsia" w:ascii="Times New Roman" w:hAnsi="Times New Roman"/>
          <w:sz w:val="20"/>
          <w:szCs w:val="20"/>
        </w:rPr>
        <w:t xml:space="preserve"> plans to realize sub-meter level position accuracy, so bandwidth less than 100MHz should be excluded since it</w:t>
      </w:r>
      <w:r>
        <w:rPr>
          <w:rFonts w:ascii="Times New Roman" w:hAnsi="Times New Roman"/>
          <w:sz w:val="20"/>
          <w:szCs w:val="20"/>
        </w:rPr>
        <w:t>’</w:t>
      </w:r>
      <w:r>
        <w:rPr>
          <w:rFonts w:hint="eastAsia" w:ascii="Times New Roman" w:hAnsi="Times New Roman"/>
          <w:sz w:val="20"/>
          <w:szCs w:val="20"/>
        </w:rPr>
        <w:t>s hard to meet the requirement.</w:t>
      </w:r>
    </w:p>
    <w:p>
      <w:pPr>
        <w:snapToGrid w:val="0"/>
        <w:spacing w:before="180" w:beforeLines="50" w:after="180" w:afterLines="50" w:line="240" w:lineRule="auto"/>
        <w:jc w:val="both"/>
        <w:rPr>
          <w:rFonts w:ascii="Times New Roman" w:hAnsi="Times New Roman" w:eastAsia="微软雅黑"/>
          <w:i/>
          <w:sz w:val="20"/>
          <w:szCs w:val="20"/>
        </w:rPr>
      </w:pPr>
      <w:r>
        <w:rPr>
          <w:rFonts w:hint="eastAsia" w:ascii="Times New Roman" w:hAnsi="Times New Roman" w:eastAsia="微软雅黑"/>
          <w:b/>
          <w:i/>
          <w:sz w:val="20"/>
          <w:szCs w:val="20"/>
        </w:rPr>
        <w:t>Proposal 2:</w:t>
      </w:r>
      <w:r>
        <w:rPr>
          <w:rFonts w:hint="eastAsia" w:ascii="Times New Roman" w:hAnsi="Times New Roman" w:eastAsia="微软雅黑"/>
          <w:i/>
          <w:sz w:val="20"/>
          <w:szCs w:val="20"/>
        </w:rPr>
        <w:t xml:space="preserve"> The scenario parameters common to all scenarios in table 6.1.1-1 in TR 38.855 are reused for evaluation in Rel.17, but the bandwidth should </w:t>
      </w:r>
      <w:r>
        <w:rPr>
          <w:rFonts w:hint="eastAsia" w:ascii="Times New Roman" w:hAnsi="Times New Roman" w:eastAsia="微软雅黑"/>
          <w:i/>
          <w:sz w:val="20"/>
          <w:szCs w:val="20"/>
          <w:lang w:val="en-US" w:eastAsia="zh-CN"/>
        </w:rPr>
        <w:t xml:space="preserve">be </w:t>
      </w:r>
      <w:r>
        <w:rPr>
          <w:rFonts w:hint="eastAsia" w:ascii="Times New Roman" w:hAnsi="Times New Roman" w:eastAsia="微软雅黑"/>
          <w:i/>
          <w:sz w:val="20"/>
          <w:szCs w:val="20"/>
        </w:rPr>
        <w:t>no less than 100MHz.</w:t>
      </w:r>
    </w:p>
    <w:p>
      <w:pPr>
        <w:pStyle w:val="2"/>
        <w:ind w:left="431" w:hanging="431"/>
        <w:rPr>
          <w:lang w:val="en-US"/>
        </w:rPr>
      </w:pPr>
      <w:r>
        <w:rPr>
          <w:rFonts w:hint="eastAsia"/>
          <w:lang w:val="en-US"/>
        </w:rPr>
        <w:t>IIOT InF scenarios</w:t>
      </w:r>
    </w:p>
    <w:p>
      <w:pPr>
        <w:pStyle w:val="3"/>
        <w:snapToGrid w:val="0"/>
        <w:spacing w:before="80" w:after="80" w:line="240" w:lineRule="auto"/>
        <w:ind w:left="720" w:hanging="578"/>
        <w:rPr>
          <w:rFonts w:ascii="Arial" w:hAnsi="Arial" w:cs="Arial"/>
          <w:sz w:val="24"/>
          <w:szCs w:val="24"/>
          <w:lang w:val="en-US"/>
        </w:rPr>
      </w:pPr>
      <w:r>
        <w:rPr>
          <w:rFonts w:ascii="Arial" w:hAnsi="Arial" w:cs="Arial"/>
          <w:sz w:val="24"/>
          <w:szCs w:val="24"/>
          <w:lang w:val="en-US"/>
        </w:rPr>
        <w:t>Common evaluation parameters for IIOT channels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Rel</w:t>
      </w:r>
      <w:r>
        <w:rPr>
          <w:rFonts w:ascii="Times New Roman" w:hAnsi="Times New Roman"/>
          <w:sz w:val="20"/>
          <w:szCs w:val="20"/>
        </w:rPr>
        <w:t>.</w:t>
      </w:r>
      <w:r>
        <w:rPr>
          <w:rFonts w:hint="eastAsia" w:ascii="Times New Roman" w:hAnsi="Times New Roman"/>
          <w:sz w:val="20"/>
          <w:szCs w:val="20"/>
        </w:rPr>
        <w:t>16 positioning solutions have been proofed that indoor hot spot scenario can meet Rel.16 requirements. And Rel.17 study phase should define additional indoor scenarios (e.g. (I)IoT) based on TR 38.901 [2]</w:t>
      </w:r>
      <w:r>
        <w:rPr>
          <w:rFonts w:ascii="Times New Roman" w:hAnsi="Times New Roman"/>
          <w:sz w:val="20"/>
          <w:szCs w:val="20"/>
        </w:rPr>
        <w:t xml:space="preserve"> </w:t>
      </w:r>
      <w:r>
        <w:rPr>
          <w:rFonts w:hint="eastAsia" w:ascii="Times New Roman" w:hAnsi="Times New Roman"/>
          <w:sz w:val="20"/>
          <w:szCs w:val="20"/>
        </w:rPr>
        <w:t>to evaluate the performance for the use cases (e.g. (I)IoT).</w:t>
      </w:r>
      <w:r>
        <w:rPr>
          <w:rFonts w:ascii="Times New Roman" w:hAnsi="Times New Roman"/>
          <w:sz w:val="20"/>
          <w:szCs w:val="20"/>
        </w:rPr>
        <w:t xml:space="preserve"> </w:t>
      </w:r>
      <w:r>
        <w:rPr>
          <w:rFonts w:hint="eastAsia" w:ascii="Times New Roman" w:hAnsi="Times New Roman"/>
          <w:sz w:val="20"/>
          <w:szCs w:val="20"/>
        </w:rPr>
        <w:t xml:space="preserve">In addition, RAN1 has defined the following 5 </w:t>
      </w:r>
      <w:r>
        <w:rPr>
          <w:rFonts w:ascii="Times New Roman" w:hAnsi="Times New Roman"/>
          <w:sz w:val="20"/>
          <w:szCs w:val="20"/>
        </w:rPr>
        <w:t xml:space="preserve">InF </w:t>
      </w:r>
      <w:r>
        <w:rPr>
          <w:rFonts w:hint="eastAsia" w:ascii="Times New Roman" w:hAnsi="Times New Roman"/>
          <w:sz w:val="20"/>
          <w:szCs w:val="20"/>
        </w:rPr>
        <w:t>scenarios for IIOT</w:t>
      </w:r>
      <w:r>
        <w:rPr>
          <w:rFonts w:ascii="Times New Roman" w:hAnsi="Times New Roman"/>
          <w:sz w:val="20"/>
          <w:szCs w:val="20"/>
        </w:rPr>
        <w:t xml:space="preserve"> in Rel.16</w:t>
      </w:r>
      <w:r>
        <w:rPr>
          <w:rFonts w:hint="eastAsia" w:ascii="Times New Roman" w:hAnsi="Times New Roman"/>
          <w:sz w:val="20"/>
          <w:szCs w:val="20"/>
        </w:rPr>
        <w:t>,</w:t>
      </w:r>
    </w:p>
    <w:p>
      <w:pPr>
        <w:numPr>
          <w:ilvl w:val="0"/>
          <w:numId w:val="3"/>
        </w:num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 xml:space="preserve">InF-SL  </w:t>
      </w:r>
      <w:r>
        <w:rPr>
          <w:rFonts w:hint="eastAsia" w:ascii="Times New Roman" w:hAnsi="Times New Roman"/>
          <w:sz w:val="20"/>
          <w:szCs w:val="20"/>
        </w:rPr>
        <w:tab/>
      </w:r>
      <w:r>
        <w:rPr>
          <w:rFonts w:hint="eastAsia" w:ascii="Times New Roman" w:hAnsi="Times New Roman"/>
          <w:sz w:val="20"/>
          <w:szCs w:val="20"/>
        </w:rPr>
        <w:t>Indoor Factory with Sparse clutter and Low base station height (both Tx and Rx are below the average height of the clutter)</w:t>
      </w:r>
    </w:p>
    <w:p>
      <w:pPr>
        <w:numPr>
          <w:ilvl w:val="0"/>
          <w:numId w:val="3"/>
        </w:num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InF-DL</w:t>
      </w:r>
      <w:r>
        <w:rPr>
          <w:rFonts w:hint="eastAsia" w:ascii="Times New Roman" w:hAnsi="Times New Roman"/>
          <w:sz w:val="20"/>
          <w:szCs w:val="20"/>
        </w:rPr>
        <w:tab/>
      </w:r>
      <w:r>
        <w:rPr>
          <w:rFonts w:hint="eastAsia" w:ascii="Times New Roman" w:hAnsi="Times New Roman"/>
          <w:sz w:val="20"/>
          <w:szCs w:val="20"/>
        </w:rPr>
        <w:t>Indoor Factory with Dense clutter and Low base station height (both Tx and Rx are below the average height of the clutter)</w:t>
      </w:r>
    </w:p>
    <w:p>
      <w:pPr>
        <w:numPr>
          <w:ilvl w:val="0"/>
          <w:numId w:val="3"/>
        </w:num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InF-SH</w:t>
      </w:r>
      <w:r>
        <w:rPr>
          <w:rFonts w:hint="eastAsia" w:ascii="Times New Roman" w:hAnsi="Times New Roman"/>
          <w:sz w:val="20"/>
          <w:szCs w:val="20"/>
        </w:rPr>
        <w:tab/>
      </w:r>
      <w:r>
        <w:rPr>
          <w:rFonts w:hint="eastAsia" w:ascii="Times New Roman" w:hAnsi="Times New Roman"/>
          <w:sz w:val="20"/>
          <w:szCs w:val="20"/>
        </w:rPr>
        <w:t>Indoor Factory with Sparse clutter and High base station height (Tx or Rx elevated above the clutter)</w:t>
      </w:r>
    </w:p>
    <w:p>
      <w:pPr>
        <w:numPr>
          <w:ilvl w:val="0"/>
          <w:numId w:val="3"/>
        </w:num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InF-DH</w:t>
      </w:r>
      <w:r>
        <w:rPr>
          <w:rFonts w:hint="eastAsia" w:ascii="Times New Roman" w:hAnsi="Times New Roman"/>
          <w:sz w:val="20"/>
          <w:szCs w:val="20"/>
        </w:rPr>
        <w:tab/>
      </w:r>
      <w:r>
        <w:rPr>
          <w:rFonts w:hint="eastAsia" w:ascii="Times New Roman" w:hAnsi="Times New Roman"/>
          <w:sz w:val="20"/>
          <w:szCs w:val="20"/>
        </w:rPr>
        <w:t>Indoor Factory with Dense clutter and High base station height (Tx or Rx elevated above the clutter)</w:t>
      </w:r>
    </w:p>
    <w:p>
      <w:pPr>
        <w:numPr>
          <w:ilvl w:val="0"/>
          <w:numId w:val="3"/>
        </w:num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InF-HH</w:t>
      </w:r>
      <w:r>
        <w:rPr>
          <w:rFonts w:hint="eastAsia" w:ascii="Times New Roman" w:hAnsi="Times New Roman"/>
          <w:sz w:val="20"/>
          <w:szCs w:val="20"/>
        </w:rPr>
        <w:tab/>
      </w:r>
      <w:r>
        <w:rPr>
          <w:rFonts w:hint="eastAsia" w:ascii="Times New Roman" w:hAnsi="Times New Roman"/>
          <w:sz w:val="20"/>
          <w:szCs w:val="20"/>
        </w:rPr>
        <w:t>Indoor Factory with High Tx and High Rx (both elevated above the clutter)</w:t>
      </w:r>
    </w:p>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For all InF scenarios, large scale calibration for InF scenarios in Table 7.8-7 in TR 38.901(Appendix B) can be used as a start</w:t>
      </w:r>
      <w:r>
        <w:rPr>
          <w:rFonts w:hint="eastAsia" w:ascii="Times New Roman" w:hAnsi="Times New Roman"/>
          <w:sz w:val="20"/>
          <w:szCs w:val="20"/>
          <w:lang w:val="en-US" w:eastAsia="zh-CN"/>
        </w:rPr>
        <w:t>ing</w:t>
      </w:r>
      <w:r>
        <w:rPr>
          <w:rFonts w:hint="eastAsia" w:ascii="Times New Roman" w:hAnsi="Times New Roman"/>
          <w:sz w:val="20"/>
          <w:szCs w:val="20"/>
        </w:rPr>
        <w:t xml:space="preserve"> point for evaluation.</w:t>
      </w:r>
      <w:r>
        <w:rPr>
          <w:rFonts w:ascii="Times New Roman" w:hAnsi="Times New Roman"/>
          <w:sz w:val="20"/>
          <w:szCs w:val="20"/>
        </w:rPr>
        <w:t xml:space="preserve"> </w:t>
      </w:r>
    </w:p>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Some configurations,</w:t>
      </w:r>
      <w:r>
        <w:rPr>
          <w:rFonts w:ascii="Times New Roman" w:hAnsi="Times New Roman"/>
          <w:sz w:val="20"/>
          <w:szCs w:val="20"/>
        </w:rPr>
        <w:t xml:space="preserve"> </w:t>
      </w:r>
      <w:r>
        <w:rPr>
          <w:rFonts w:hint="eastAsia" w:ascii="Times New Roman" w:hAnsi="Times New Roman"/>
          <w:sz w:val="20"/>
          <w:szCs w:val="20"/>
        </w:rPr>
        <w:t>such as BS antenna configurations,</w:t>
      </w:r>
      <w:r>
        <w:rPr>
          <w:rFonts w:ascii="Times New Roman" w:hAnsi="Times New Roman"/>
          <w:sz w:val="20"/>
          <w:szCs w:val="20"/>
        </w:rPr>
        <w:t xml:space="preserve"> </w:t>
      </w:r>
      <w:r>
        <w:rPr>
          <w:rFonts w:hint="eastAsia" w:ascii="Times New Roman" w:hAnsi="Times New Roman"/>
          <w:sz w:val="20"/>
          <w:szCs w:val="20"/>
        </w:rPr>
        <w:t>UT antenna configurations,</w:t>
      </w:r>
      <w:r>
        <w:rPr>
          <w:rFonts w:ascii="Times New Roman" w:hAnsi="Times New Roman"/>
          <w:sz w:val="20"/>
          <w:szCs w:val="20"/>
        </w:rPr>
        <w:t xml:space="preserve"> </w:t>
      </w:r>
      <w:r>
        <w:rPr>
          <w:rFonts w:hint="eastAsia" w:ascii="Times New Roman" w:hAnsi="Times New Roman"/>
          <w:sz w:val="20"/>
          <w:szCs w:val="20"/>
        </w:rPr>
        <w:t>carrier frequency,</w:t>
      </w:r>
      <w:r>
        <w:rPr>
          <w:rFonts w:ascii="Times New Roman" w:hAnsi="Times New Roman"/>
          <w:sz w:val="20"/>
          <w:szCs w:val="20"/>
        </w:rPr>
        <w:t xml:space="preserve"> </w:t>
      </w:r>
      <w:r>
        <w:rPr>
          <w:rFonts w:hint="eastAsia" w:ascii="Times New Roman" w:hAnsi="Times New Roman"/>
          <w:sz w:val="20"/>
          <w:szCs w:val="20"/>
        </w:rPr>
        <w:t>bandwidth are duplicate with table 6.1.1-1 in TR 38.855, those parameters should follow table 6.1.1-1 in TR 38.855. LOS probability for InF scenarios is modelled according to Section 7.4.2 in TR 38.901. The absolute time of arrival is applied according to TR 38.901 to model the excess delay of NLOS link.</w:t>
      </w:r>
    </w:p>
    <w:p>
      <w:pPr>
        <w:snapToGrid w:val="0"/>
        <w:spacing w:before="180" w:beforeLines="50" w:after="180" w:afterLines="50" w:line="20" w:lineRule="atLeast"/>
        <w:jc w:val="both"/>
        <w:rPr>
          <w:rFonts w:ascii="Times New Roman" w:hAnsi="Times New Roman" w:eastAsia="微软雅黑"/>
          <w:i/>
          <w:sz w:val="20"/>
          <w:szCs w:val="20"/>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3</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Common evaluation parameters for IIOT channels in table 7.8-7 in TR 38.901 are reused for evaluation in Rel.17, but the BS antenna configurations, UT antenna configurations, carrier frequency, bandwidth should follow table 6.1.1-1 in TR 38.855.</w:t>
      </w:r>
    </w:p>
    <w:p>
      <w:pPr>
        <w:snapToGrid w:val="0"/>
        <w:spacing w:before="180" w:beforeLines="50" w:after="180" w:afterLines="50" w:line="20" w:lineRule="atLeast"/>
        <w:jc w:val="both"/>
        <w:rPr>
          <w:rFonts w:ascii="Times New Roman" w:hAnsi="Times New Roman"/>
          <w:sz w:val="20"/>
        </w:rPr>
      </w:pPr>
      <w:r>
        <w:rPr>
          <w:rFonts w:hint="eastAsia" w:ascii="Times New Roman" w:hAnsi="Times New Roman"/>
          <w:sz w:val="20"/>
          <w:szCs w:val="20"/>
        </w:rPr>
        <w:t>As we know positioning accuracy is quite dependent on LOS probability.</w:t>
      </w:r>
      <w:r>
        <w:rPr>
          <w:rFonts w:ascii="Times New Roman" w:hAnsi="Times New Roman"/>
          <w:sz w:val="20"/>
          <w:szCs w:val="20"/>
        </w:rPr>
        <w:t xml:space="preserve"> </w:t>
      </w:r>
      <w:r>
        <w:rPr>
          <w:rFonts w:hint="eastAsia" w:ascii="Times New Roman" w:hAnsi="Times New Roman"/>
          <w:sz w:val="20"/>
          <w:szCs w:val="20"/>
        </w:rPr>
        <w:t xml:space="preserve">If we set parameters as </w:t>
      </w:r>
      <w:r>
        <w:rPr>
          <w:rFonts w:ascii="Times New Roman" w:hAnsi="Times New Roman"/>
          <w:sz w:val="20"/>
          <w:szCs w:val="20"/>
        </w:rPr>
        <w:t>t</w:t>
      </w:r>
      <w:r>
        <w:rPr>
          <w:rFonts w:hint="eastAsia" w:ascii="Times New Roman" w:hAnsi="Times New Roman"/>
          <w:sz w:val="20"/>
          <w:szCs w:val="20"/>
        </w:rPr>
        <w:t>able 7.8-7</w:t>
      </w:r>
      <w:r>
        <w:rPr>
          <w:rFonts w:ascii="Times New Roman" w:hAnsi="Times New Roman"/>
          <w:sz w:val="20"/>
          <w:szCs w:val="20"/>
        </w:rPr>
        <w:t xml:space="preserve"> in TR 38.901</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 xml:space="preserve">then the LOS probability vs distance is showed in Figure </w:t>
      </w:r>
      <w:r>
        <w:rPr>
          <w:rFonts w:ascii="Times New Roman" w:hAnsi="Times New Roman"/>
          <w:sz w:val="20"/>
          <w:szCs w:val="20"/>
        </w:rPr>
        <w:t>1</w:t>
      </w:r>
      <w:r>
        <w:rPr>
          <w:rFonts w:hint="eastAsia" w:ascii="Times New Roman" w:hAnsi="Times New Roman"/>
          <w:sz w:val="20"/>
          <w:szCs w:val="20"/>
        </w:rPr>
        <w:t xml:space="preserve"> for 4</w:t>
      </w:r>
      <w:r>
        <w:rPr>
          <w:rFonts w:ascii="Times New Roman" w:hAnsi="Times New Roman"/>
          <w:sz w:val="20"/>
          <w:szCs w:val="20"/>
        </w:rPr>
        <w:t xml:space="preserve"> InF</w:t>
      </w:r>
      <w:r>
        <w:rPr>
          <w:rFonts w:hint="eastAsia" w:ascii="Times New Roman" w:hAnsi="Times New Roman"/>
          <w:sz w:val="20"/>
          <w:szCs w:val="20"/>
        </w:rPr>
        <w:t xml:space="preserve"> scenarios. The figure 1 demonstrates that InF-SH has the highest LOS probability and InF-DL is the lowest one.</w:t>
      </w:r>
      <w:r>
        <w:rPr>
          <w:rFonts w:ascii="Times New Roman" w:hAnsi="Times New Roman"/>
          <w:sz w:val="20"/>
          <w:szCs w:val="20"/>
        </w:rPr>
        <w:t xml:space="preserve"> </w:t>
      </w:r>
      <w:r>
        <w:rPr>
          <w:rFonts w:hint="eastAsia" w:ascii="Times New Roman" w:hAnsi="Times New Roman"/>
          <w:sz w:val="20"/>
          <w:szCs w:val="20"/>
        </w:rPr>
        <w:t>It</w:t>
      </w:r>
      <w:r>
        <w:rPr>
          <w:rFonts w:ascii="Times New Roman" w:hAnsi="Times New Roman"/>
          <w:sz w:val="20"/>
          <w:szCs w:val="20"/>
        </w:rPr>
        <w:t>’</w:t>
      </w:r>
      <w:r>
        <w:rPr>
          <w:rFonts w:hint="eastAsia" w:ascii="Times New Roman" w:hAnsi="Times New Roman"/>
          <w:sz w:val="20"/>
          <w:szCs w:val="20"/>
        </w:rPr>
        <w:t xml:space="preserve">s predictable that InF-SH </w:t>
      </w:r>
      <w:r>
        <w:rPr>
          <w:rFonts w:ascii="Times New Roman" w:hAnsi="Times New Roman"/>
          <w:sz w:val="20"/>
          <w:szCs w:val="20"/>
        </w:rPr>
        <w:t>may</w:t>
      </w:r>
      <w:r>
        <w:rPr>
          <w:rFonts w:hint="eastAsia" w:ascii="Times New Roman" w:hAnsi="Times New Roman"/>
          <w:sz w:val="20"/>
          <w:szCs w:val="20"/>
        </w:rPr>
        <w:t xml:space="preserve"> get highest </w:t>
      </w:r>
      <w:r>
        <w:rPr>
          <w:rFonts w:ascii="Times New Roman" w:hAnsi="Times New Roman"/>
          <w:sz w:val="20"/>
          <w:szCs w:val="20"/>
        </w:rPr>
        <w:t xml:space="preserve">positioning </w:t>
      </w:r>
      <w:r>
        <w:rPr>
          <w:rFonts w:hint="eastAsia" w:ascii="Times New Roman" w:hAnsi="Times New Roman"/>
          <w:sz w:val="20"/>
          <w:szCs w:val="20"/>
        </w:rPr>
        <w:t>accuracy than other scenarios.</w:t>
      </w:r>
      <w:r>
        <w:rPr>
          <w:rFonts w:ascii="Times New Roman" w:hAnsi="Times New Roman"/>
          <w:sz w:val="20"/>
          <w:szCs w:val="20"/>
        </w:rPr>
        <w:t xml:space="preserve"> It’s not clear whether it makes sense in practical system that one scenario has much higher accuracy than other scenarios, so whether such results are useful to guide real deployment is doubtful. Hence it</w:t>
      </w:r>
      <w:r>
        <w:rPr>
          <w:rFonts w:hint="eastAsia" w:ascii="Times New Roman" w:hAnsi="Times New Roman"/>
          <w:sz w:val="20"/>
          <w:szCs w:val="20"/>
        </w:rPr>
        <w:t xml:space="preserve"> would be better to change some parameters to make </w:t>
      </w:r>
      <w:r>
        <w:rPr>
          <w:rFonts w:ascii="Times New Roman" w:hAnsi="Times New Roman"/>
          <w:sz w:val="20"/>
          <w:szCs w:val="20"/>
        </w:rPr>
        <w:t>the simulation results useful for practical deployment</w:t>
      </w:r>
      <w:r>
        <w:rPr>
          <w:rFonts w:hint="eastAsia" w:ascii="Times New Roman" w:hAnsi="Times New Roman"/>
          <w:sz w:val="20"/>
          <w:szCs w:val="20"/>
        </w:rPr>
        <w:t>. Some</w:t>
      </w:r>
      <w:r>
        <w:rPr>
          <w:rFonts w:hint="eastAsia" w:ascii="Times New Roman" w:hAnsi="Times New Roman"/>
          <w:sz w:val="20"/>
        </w:rPr>
        <w:t xml:space="preserve"> main factors for LOS probability</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like BS antenna height,</w:t>
      </w:r>
      <w:r>
        <w:rPr>
          <w:rFonts w:ascii="Times New Roman" w:hAnsi="Times New Roman"/>
          <w:sz w:val="20"/>
          <w:szCs w:val="20"/>
        </w:rPr>
        <w:t xml:space="preserve"> </w:t>
      </w:r>
      <w:r>
        <w:rPr>
          <w:rFonts w:hint="eastAsia" w:ascii="Times New Roman" w:hAnsi="Times New Roman"/>
          <w:sz w:val="20"/>
          <w:szCs w:val="20"/>
        </w:rPr>
        <w:t>UT antenna height, clutter density,</w:t>
      </w:r>
      <w:r>
        <w:rPr>
          <w:rFonts w:cs="Arial"/>
        </w:rPr>
        <w:t xml:space="preserve"> </w:t>
      </w:r>
      <w:r>
        <w:rPr>
          <w:rFonts w:hint="eastAsia" w:ascii="Times New Roman" w:hAnsi="Times New Roman"/>
          <w:sz w:val="20"/>
        </w:rPr>
        <w:t>clutter size and clutter height</w:t>
      </w:r>
      <w:r>
        <w:rPr>
          <w:rFonts w:ascii="Times New Roman" w:hAnsi="Times New Roman"/>
          <w:sz w:val="20"/>
        </w:rPr>
        <w:t>,</w:t>
      </w:r>
      <w:r>
        <w:rPr>
          <w:rFonts w:hint="eastAsia" w:ascii="Times New Roman" w:hAnsi="Times New Roman"/>
          <w:sz w:val="20"/>
        </w:rPr>
        <w:t xml:space="preserve"> need to be changed, which is beneficial to increase the LOS probability </w:t>
      </w:r>
      <w:r>
        <w:rPr>
          <w:rFonts w:ascii="Times New Roman" w:hAnsi="Times New Roman"/>
          <w:sz w:val="20"/>
        </w:rPr>
        <w:t>for some scenarios and make the simulation results useful</w:t>
      </w:r>
      <w:r>
        <w:rPr>
          <w:rFonts w:hint="eastAsia" w:ascii="Times New Roman" w:hAnsi="Times New Roman"/>
          <w:sz w:val="20"/>
        </w:rPr>
        <w:t>.</w:t>
      </w:r>
    </w:p>
    <w:p>
      <w:pPr>
        <w:snapToGrid w:val="0"/>
        <w:spacing w:before="180" w:beforeLines="50" w:after="180" w:afterLines="50" w:line="20" w:lineRule="atLeast"/>
        <w:jc w:val="both"/>
        <w:rPr>
          <w:rFonts w:ascii="Times New Roman" w:hAnsi="Times New Roman" w:eastAsia="微软雅黑"/>
          <w:i/>
          <w:sz w:val="20"/>
          <w:szCs w:val="20"/>
        </w:rPr>
      </w:pPr>
      <w:r>
        <w:rPr>
          <w:rFonts w:ascii="Times New Roman" w:hAnsi="Times New Roman" w:eastAsia="微软雅黑"/>
          <w:b/>
          <w:i/>
          <w:sz w:val="20"/>
          <w:szCs w:val="20"/>
        </w:rPr>
        <w:t>Observation</w:t>
      </w:r>
      <w:r>
        <w:rPr>
          <w:rFonts w:hint="eastAsia" w:ascii="Times New Roman" w:hAnsi="Times New Roman" w:eastAsia="微软雅黑"/>
          <w:b/>
          <w:i/>
          <w:sz w:val="20"/>
          <w:szCs w:val="20"/>
        </w:rPr>
        <w:t xml:space="preserve"> </w:t>
      </w:r>
      <w:r>
        <w:rPr>
          <w:rFonts w:ascii="Times New Roman" w:hAnsi="Times New Roman" w:eastAsia="微软雅黑"/>
          <w:b/>
          <w:i/>
          <w:sz w:val="20"/>
          <w:szCs w:val="20"/>
        </w:rPr>
        <w:t>1</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w:t>
      </w:r>
      <w:r>
        <w:rPr>
          <w:rFonts w:ascii="Times New Roman" w:hAnsi="Times New Roman" w:eastAsia="微软雅黑"/>
          <w:i/>
          <w:sz w:val="20"/>
          <w:szCs w:val="20"/>
        </w:rPr>
        <w:t>The LOS probability (vs distance) of InF scenarios from high to low are InF-SH, InF-SL, InF-DH, InF-DL.</w:t>
      </w:r>
    </w:p>
    <w:p>
      <w:pPr>
        <w:snapToGrid w:val="0"/>
        <w:spacing w:before="180" w:beforeLines="50" w:after="180" w:afterLines="50" w:line="20" w:lineRule="atLeast"/>
        <w:jc w:val="both"/>
        <w:rPr>
          <w:rFonts w:ascii="Times New Roman" w:hAnsi="Times New Roman" w:eastAsia="微软雅黑"/>
          <w:i/>
          <w:sz w:val="20"/>
          <w:szCs w:val="20"/>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4</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w:t>
      </w:r>
      <w:r>
        <w:rPr>
          <w:rFonts w:ascii="Times New Roman" w:hAnsi="Times New Roman" w:eastAsia="微软雅黑"/>
          <w:i/>
          <w:sz w:val="20"/>
          <w:szCs w:val="20"/>
        </w:rPr>
        <w:t>A proper configuration</w:t>
      </w:r>
      <w:r>
        <w:rPr>
          <w:rFonts w:hint="eastAsia" w:ascii="Times New Roman" w:hAnsi="Times New Roman" w:eastAsia="微软雅黑"/>
          <w:i/>
          <w:sz w:val="20"/>
          <w:szCs w:val="20"/>
        </w:rPr>
        <w:t xml:space="preserve"> to increase </w:t>
      </w:r>
      <w:r>
        <w:rPr>
          <w:rFonts w:ascii="Times New Roman" w:hAnsi="Times New Roman" w:eastAsia="微软雅黑"/>
          <w:i/>
          <w:sz w:val="20"/>
          <w:szCs w:val="20"/>
        </w:rPr>
        <w:t>LOS probability</w:t>
      </w:r>
      <w:r>
        <w:rPr>
          <w:rFonts w:hint="eastAsia" w:ascii="Times New Roman" w:hAnsi="Times New Roman" w:eastAsia="微软雅黑"/>
          <w:i/>
          <w:sz w:val="20"/>
          <w:szCs w:val="20"/>
        </w:rPr>
        <w:t xml:space="preserve"> for some scenarios</w:t>
      </w:r>
      <w:r>
        <w:rPr>
          <w:rFonts w:ascii="Times New Roman" w:hAnsi="Times New Roman" w:eastAsia="微软雅黑"/>
          <w:i/>
          <w:sz w:val="20"/>
          <w:szCs w:val="20"/>
        </w:rPr>
        <w:t xml:space="preserve"> should be </w:t>
      </w:r>
      <w:r>
        <w:rPr>
          <w:rFonts w:hint="eastAsia" w:ascii="Times New Roman" w:hAnsi="Times New Roman" w:eastAsia="微软雅黑"/>
          <w:i/>
          <w:sz w:val="20"/>
          <w:szCs w:val="20"/>
        </w:rPr>
        <w:t>evaluated</w:t>
      </w:r>
      <w:r>
        <w:rPr>
          <w:rFonts w:ascii="Times New Roman" w:hAnsi="Times New Roman" w:eastAsia="微软雅黑"/>
          <w:i/>
          <w:sz w:val="20"/>
          <w:szCs w:val="20"/>
        </w:rPr>
        <w:t>.</w:t>
      </w:r>
    </w:p>
    <w:p>
      <w:pPr>
        <w:snapToGrid w:val="0"/>
        <w:spacing w:before="180" w:beforeLines="50" w:after="180" w:afterLines="50" w:line="240" w:lineRule="auto"/>
        <w:jc w:val="center"/>
      </w:pPr>
      <w:r>
        <w:drawing>
          <wp:inline distT="0" distB="0" distL="114300" distR="114300">
            <wp:extent cx="4032250" cy="3023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032250" cy="302387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rPr>
      </w:pPr>
      <w:r>
        <w:rPr>
          <w:rFonts w:ascii="Times New Roman" w:hAnsi="Times New Roman"/>
          <w:sz w:val="20"/>
        </w:rPr>
        <w:t>Figure 1 LOS probability vs distance for 4 InF scenarios</w:t>
      </w:r>
    </w:p>
    <w:p>
      <w:pPr>
        <w:pStyle w:val="3"/>
        <w:snapToGrid w:val="0"/>
        <w:spacing w:before="80" w:after="80" w:line="240" w:lineRule="auto"/>
        <w:ind w:left="720" w:hanging="578"/>
        <w:rPr>
          <w:rFonts w:ascii="Arial" w:hAnsi="Arial" w:cs="Arial"/>
          <w:sz w:val="24"/>
          <w:szCs w:val="24"/>
          <w:lang w:val="en-US"/>
        </w:rPr>
      </w:pPr>
      <w:r>
        <w:rPr>
          <w:rFonts w:hint="eastAsia" w:ascii="Arial" w:hAnsi="Arial" w:cs="Arial"/>
          <w:sz w:val="24"/>
          <w:szCs w:val="24"/>
          <w:lang w:val="en-US"/>
        </w:rPr>
        <w:t>Discussions on some InF scenarios for positioning purpose</w:t>
      </w:r>
    </w:p>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It</w:t>
      </w:r>
      <w:r>
        <w:rPr>
          <w:rFonts w:ascii="Times New Roman" w:hAnsi="Times New Roman"/>
          <w:sz w:val="20"/>
          <w:szCs w:val="20"/>
        </w:rPr>
        <w:t>’</w:t>
      </w:r>
      <w:r>
        <w:rPr>
          <w:rFonts w:hint="eastAsia" w:ascii="Times New Roman" w:hAnsi="Times New Roman"/>
          <w:sz w:val="20"/>
          <w:szCs w:val="20"/>
        </w:rPr>
        <w:t>s obvious that InF-HH is not designed for positioning.</w:t>
      </w:r>
      <w:r>
        <w:rPr>
          <w:rFonts w:ascii="Times New Roman" w:hAnsi="Times New Roman"/>
          <w:sz w:val="20"/>
          <w:szCs w:val="20"/>
        </w:rPr>
        <w:t xml:space="preserve"> </w:t>
      </w:r>
      <w:r>
        <w:rPr>
          <w:rFonts w:hint="eastAsia" w:ascii="Times New Roman" w:hAnsi="Times New Roman"/>
          <w:sz w:val="20"/>
          <w:szCs w:val="20"/>
        </w:rPr>
        <w:t>Meanwhile,</w:t>
      </w:r>
      <w:r>
        <w:rPr>
          <w:rFonts w:ascii="Times New Roman" w:hAnsi="Times New Roman"/>
          <w:sz w:val="20"/>
          <w:szCs w:val="20"/>
        </w:rPr>
        <w:t xml:space="preserve"> </w:t>
      </w:r>
      <w:r>
        <w:rPr>
          <w:rFonts w:hint="eastAsia" w:ascii="Times New Roman" w:hAnsi="Times New Roman"/>
          <w:sz w:val="20"/>
          <w:szCs w:val="20"/>
        </w:rPr>
        <w:t>other 4 scenarios are for different use cases. InF-SL and InF-SH are applied to several mixed production areas with open spaces and storage/commissioning areas. InF-DL and InF-DH are appropriate for assembly and production lines surrounded by mixed small-sized machineries. However,</w:t>
      </w:r>
      <w:r>
        <w:rPr>
          <w:rFonts w:ascii="Times New Roman" w:hAnsi="Times New Roman"/>
          <w:sz w:val="20"/>
          <w:szCs w:val="20"/>
        </w:rPr>
        <w:t xml:space="preserve"> </w:t>
      </w:r>
      <w:r>
        <w:rPr>
          <w:rFonts w:hint="eastAsia" w:ascii="Times New Roman" w:hAnsi="Times New Roman"/>
          <w:sz w:val="20"/>
          <w:szCs w:val="20"/>
        </w:rPr>
        <w:t>both Tx and Rx are below the average height of the clutter for InF-DL scenario, which causes low LOS probability that is inappropriate for positioning.</w:t>
      </w:r>
    </w:p>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Assembly and production lines are the most important use cases for industrial scenarios,</w:t>
      </w:r>
      <w:r>
        <w:rPr>
          <w:rFonts w:ascii="Times New Roman" w:hAnsi="Times New Roman"/>
          <w:sz w:val="20"/>
          <w:szCs w:val="20"/>
        </w:rPr>
        <w:t xml:space="preserve"> </w:t>
      </w:r>
      <w:r>
        <w:rPr>
          <w:rFonts w:hint="eastAsia" w:ascii="Times New Roman" w:hAnsi="Times New Roman"/>
          <w:sz w:val="20"/>
          <w:szCs w:val="20"/>
        </w:rPr>
        <w:t>which consists of following three areas,</w:t>
      </w:r>
    </w:p>
    <w:p>
      <w:pPr>
        <w:numPr>
          <w:ilvl w:val="0"/>
          <w:numId w:val="3"/>
        </w:numPr>
        <w:snapToGrid w:val="0"/>
        <w:spacing w:before="180" w:beforeLines="50" w:after="180" w:afterLines="50" w:line="20" w:lineRule="atLeast"/>
        <w:ind w:left="839"/>
        <w:jc w:val="both"/>
        <w:rPr>
          <w:rFonts w:ascii="Times New Roman" w:hAnsi="Times New Roman"/>
          <w:sz w:val="20"/>
          <w:szCs w:val="20"/>
        </w:rPr>
      </w:pPr>
      <w:r>
        <w:rPr>
          <w:rFonts w:hint="eastAsia" w:ascii="Times New Roman" w:hAnsi="Times New Roman"/>
          <w:sz w:val="20"/>
          <w:szCs w:val="20"/>
        </w:rPr>
        <w:t>Alleys(corridors),</w:t>
      </w:r>
      <w:r>
        <w:rPr>
          <w:rFonts w:ascii="Times New Roman" w:hAnsi="Times New Roman"/>
          <w:sz w:val="20"/>
          <w:szCs w:val="20"/>
        </w:rPr>
        <w:t xml:space="preserve"> </w:t>
      </w:r>
      <w:r>
        <w:rPr>
          <w:rFonts w:hint="eastAsia" w:ascii="Times New Roman" w:hAnsi="Times New Roman"/>
          <w:sz w:val="20"/>
          <w:szCs w:val="20"/>
        </w:rPr>
        <w:t>where objects in there are metallic, moving slowly and of medium size (typical small to large fork lifts, tugger trains with 2-3 four-wheeled carriages,</w:t>
      </w:r>
      <w:r>
        <w:rPr>
          <w:rFonts w:ascii="Times New Roman" w:hAnsi="Times New Roman"/>
          <w:sz w:val="20"/>
          <w:szCs w:val="20"/>
        </w:rPr>
        <w:t xml:space="preserve"> </w:t>
      </w:r>
      <w:r>
        <w:rPr>
          <w:rFonts w:hint="eastAsia" w:ascii="Times New Roman" w:hAnsi="Times New Roman"/>
          <w:sz w:val="20"/>
          <w:szCs w:val="20"/>
        </w:rPr>
        <w:t>AGV,</w:t>
      </w:r>
      <w:r>
        <w:rPr>
          <w:rFonts w:ascii="Times New Roman" w:hAnsi="Times New Roman"/>
          <w:sz w:val="20"/>
          <w:szCs w:val="20"/>
        </w:rPr>
        <w:t xml:space="preserve"> </w:t>
      </w:r>
      <w:r>
        <w:rPr>
          <w:rFonts w:hint="eastAsia" w:ascii="Times New Roman" w:hAnsi="Times New Roman"/>
          <w:sz w:val="20"/>
          <w:szCs w:val="20"/>
        </w:rPr>
        <w:t>ect.</w:t>
      </w:r>
    </w:p>
    <w:p>
      <w:pPr>
        <w:numPr>
          <w:ilvl w:val="0"/>
          <w:numId w:val="3"/>
        </w:numPr>
        <w:snapToGrid w:val="0"/>
        <w:spacing w:before="180" w:beforeLines="50" w:after="180" w:afterLines="50" w:line="20" w:lineRule="atLeast"/>
        <w:ind w:left="839"/>
        <w:jc w:val="both"/>
        <w:rPr>
          <w:rFonts w:ascii="Times New Roman" w:hAnsi="Times New Roman"/>
          <w:sz w:val="20"/>
          <w:szCs w:val="20"/>
        </w:rPr>
      </w:pPr>
      <w:r>
        <w:rPr>
          <w:rFonts w:hint="eastAsia" w:ascii="Times New Roman" w:hAnsi="Times New Roman"/>
          <w:sz w:val="20"/>
          <w:szCs w:val="20"/>
        </w:rPr>
        <w:t>Assembly lines, where the space up close to the ceiling is considered occupied with medium to small metallic objects that have moving parts (conveyer belts, robots, handlers, chassis, etc).</w:t>
      </w:r>
    </w:p>
    <w:p>
      <w:pPr>
        <w:numPr>
          <w:ilvl w:val="0"/>
          <w:numId w:val="3"/>
        </w:numPr>
        <w:snapToGrid w:val="0"/>
        <w:spacing w:before="180" w:beforeLines="50" w:after="180" w:afterLines="50" w:line="20" w:lineRule="atLeast"/>
        <w:ind w:left="839"/>
        <w:jc w:val="both"/>
        <w:rPr>
          <w:rFonts w:ascii="Times New Roman" w:hAnsi="Times New Roman"/>
          <w:sz w:val="20"/>
          <w:szCs w:val="20"/>
        </w:rPr>
      </w:pPr>
      <w:r>
        <w:rPr>
          <w:rFonts w:hint="eastAsia" w:ascii="Times New Roman" w:hAnsi="Times New Roman"/>
          <w:sz w:val="20"/>
          <w:szCs w:val="20"/>
        </w:rPr>
        <w:t>Production Area for discrete manufacturing, where the space up close to the ceiling is considered occupied with medium to small metallic objects. The area itself is structure with metallic fences as well as metallic blocking objects such as shelves, frames, pillars, etc.</w:t>
      </w:r>
    </w:p>
    <w:p>
      <w:pPr>
        <w:snapToGrid w:val="0"/>
        <w:spacing w:before="180" w:beforeLines="50" w:after="180" w:afterLines="50" w:line="20" w:lineRule="atLeast"/>
        <w:jc w:val="both"/>
        <w:rPr>
          <w:rFonts w:ascii="Times New Roman" w:hAnsi="Times New Roman"/>
          <w:sz w:val="20"/>
          <w:szCs w:val="20"/>
        </w:rPr>
      </w:pPr>
      <w:r>
        <w:rPr>
          <w:rFonts w:hint="eastAsia" w:ascii="Times New Roman" w:hAnsi="Times New Roman"/>
          <w:sz w:val="20"/>
          <w:szCs w:val="20"/>
        </w:rPr>
        <w:t xml:space="preserve">There are so many </w:t>
      </w:r>
      <w:r>
        <w:rPr>
          <w:rFonts w:ascii="Times New Roman" w:hAnsi="Times New Roman"/>
          <w:sz w:val="20"/>
          <w:szCs w:val="20"/>
        </w:rPr>
        <w:t>equipment</w:t>
      </w:r>
      <w:r>
        <w:rPr>
          <w:rFonts w:hint="eastAsia" w:ascii="Times New Roman" w:hAnsi="Times New Roman"/>
          <w:sz w:val="20"/>
          <w:szCs w:val="20"/>
        </w:rPr>
        <w:t xml:space="preserve"> or productions need to be delivered and stored. It</w:t>
      </w:r>
      <w:r>
        <w:rPr>
          <w:rFonts w:ascii="Times New Roman" w:hAnsi="Times New Roman"/>
          <w:sz w:val="20"/>
          <w:szCs w:val="20"/>
        </w:rPr>
        <w:t>’</w:t>
      </w:r>
      <w:r>
        <w:rPr>
          <w:rFonts w:hint="eastAsia" w:ascii="Times New Roman" w:hAnsi="Times New Roman"/>
          <w:sz w:val="20"/>
          <w:szCs w:val="20"/>
        </w:rPr>
        <w:t>s foreseeable that inbound logistics will take a</w:t>
      </w:r>
      <w:r>
        <w:rPr>
          <w:rFonts w:ascii="Times New Roman" w:hAnsi="Times New Roman"/>
          <w:sz w:val="20"/>
          <w:szCs w:val="20"/>
        </w:rPr>
        <w:t>n</w:t>
      </w:r>
      <w:r>
        <w:rPr>
          <w:rFonts w:hint="eastAsia" w:ascii="Times New Roman" w:hAnsi="Times New Roman"/>
          <w:sz w:val="20"/>
          <w:szCs w:val="20"/>
        </w:rPr>
        <w:t xml:space="preserve"> important part for manufacturing. Driving and storage urgently requires accurate location, since vehicles need to know exact driving trajectories and storage place</w:t>
      </w:r>
      <w:r>
        <w:rPr>
          <w:rFonts w:ascii="Times New Roman" w:hAnsi="Times New Roman"/>
          <w:sz w:val="20"/>
          <w:szCs w:val="20"/>
        </w:rPr>
        <w:t>s/shelves</w:t>
      </w:r>
      <w:r>
        <w:rPr>
          <w:rFonts w:hint="eastAsia" w:ascii="Times New Roman" w:hAnsi="Times New Roman"/>
          <w:sz w:val="20"/>
          <w:szCs w:val="20"/>
        </w:rPr>
        <w:t>.</w:t>
      </w:r>
    </w:p>
    <w:p>
      <w:pPr>
        <w:snapToGrid w:val="0"/>
        <w:spacing w:before="180" w:beforeLines="50" w:after="180" w:afterLines="50" w:line="20" w:lineRule="atLeast"/>
        <w:jc w:val="both"/>
        <w:rPr>
          <w:rFonts w:ascii="Times New Roman" w:hAnsi="Times New Roman" w:eastAsia="微软雅黑"/>
          <w:sz w:val="18"/>
          <w:szCs w:val="20"/>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5</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InF-DH is appropriate for alleys,</w:t>
      </w:r>
      <w:r>
        <w:rPr>
          <w:rFonts w:ascii="Times New Roman" w:hAnsi="Times New Roman" w:eastAsia="微软雅黑"/>
          <w:i/>
          <w:sz w:val="20"/>
          <w:szCs w:val="20"/>
        </w:rPr>
        <w:t xml:space="preserve"> </w:t>
      </w:r>
      <w:r>
        <w:rPr>
          <w:rFonts w:hint="eastAsia" w:ascii="Times New Roman" w:hAnsi="Times New Roman" w:eastAsia="微软雅黑"/>
          <w:i/>
          <w:sz w:val="20"/>
          <w:szCs w:val="20"/>
        </w:rPr>
        <w:t>assembly and production area,</w:t>
      </w:r>
      <w:r>
        <w:rPr>
          <w:rFonts w:ascii="Times New Roman" w:hAnsi="Times New Roman" w:eastAsia="微软雅黑"/>
          <w:i/>
          <w:sz w:val="20"/>
          <w:szCs w:val="20"/>
        </w:rPr>
        <w:t xml:space="preserve"> </w:t>
      </w:r>
      <w:r>
        <w:rPr>
          <w:rFonts w:hint="eastAsia" w:ascii="Times New Roman" w:hAnsi="Times New Roman" w:eastAsia="微软雅黑"/>
          <w:i/>
          <w:sz w:val="20"/>
          <w:szCs w:val="20"/>
        </w:rPr>
        <w:t>which should be considered for further study.</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sz w:val="20"/>
          <w:szCs w:val="20"/>
        </w:rPr>
      </w:pPr>
      <w:bookmarkStart w:id="6" w:name="OLE_LINK11"/>
      <w:bookmarkStart w:id="7" w:name="OLE_LINK10"/>
      <w:r>
        <w:rPr>
          <w:rFonts w:hint="eastAsia" w:ascii="Times New Roman" w:hAnsi="Times New Roman"/>
          <w:sz w:val="20"/>
          <w:szCs w:val="20"/>
        </w:rPr>
        <w:t>In this contribution, we discuss additional scenarios for positioning in Rel.17. Based on the discussion, we have the following observations and proposals.</w:t>
      </w:r>
    </w:p>
    <w:p>
      <w:pPr>
        <w:snapToGrid w:val="0"/>
        <w:spacing w:before="180" w:beforeLines="50" w:after="180" w:afterLines="50" w:line="240" w:lineRule="auto"/>
        <w:jc w:val="both"/>
        <w:rPr>
          <w:rFonts w:ascii="Times New Roman" w:hAnsi="Times New Roman" w:eastAsia="微软雅黑"/>
          <w:i/>
          <w:sz w:val="20"/>
          <w:szCs w:val="20"/>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1</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Interested companies need to evaluate if Rel.16 positioning solutions and novel positioning methods can meet the requirement of Rel.17 commercial use cases based on </w:t>
      </w:r>
      <w:r>
        <w:rPr>
          <w:rFonts w:ascii="Times New Roman" w:hAnsi="Times New Roman" w:eastAsia="微软雅黑"/>
          <w:i/>
          <w:sz w:val="20"/>
          <w:szCs w:val="20"/>
        </w:rPr>
        <w:t>a loose bound</w:t>
      </w:r>
      <w:r>
        <w:rPr>
          <w:rFonts w:hint="eastAsia" w:ascii="Times New Roman" w:hAnsi="Times New Roman" w:eastAsia="微软雅黑"/>
          <w:i/>
          <w:sz w:val="20"/>
          <w:szCs w:val="20"/>
        </w:rPr>
        <w:t xml:space="preserve"> requirement at first,</w:t>
      </w:r>
      <w:r>
        <w:rPr>
          <w:rFonts w:ascii="Times New Roman" w:hAnsi="Times New Roman" w:eastAsia="微软雅黑"/>
          <w:i/>
          <w:sz w:val="20"/>
          <w:szCs w:val="20"/>
        </w:rPr>
        <w:t xml:space="preserve"> </w:t>
      </w:r>
      <w:r>
        <w:rPr>
          <w:rFonts w:hint="eastAsia" w:ascii="Times New Roman" w:hAnsi="Times New Roman" w:eastAsia="微软雅黑"/>
          <w:i/>
          <w:sz w:val="20"/>
          <w:szCs w:val="20"/>
        </w:rPr>
        <w:t>then strict</w:t>
      </w:r>
      <w:r>
        <w:rPr>
          <w:rFonts w:ascii="Times New Roman" w:hAnsi="Times New Roman" w:eastAsia="微软雅黑"/>
          <w:i/>
          <w:sz w:val="20"/>
          <w:szCs w:val="20"/>
        </w:rPr>
        <w:t>er</w:t>
      </w:r>
      <w:r>
        <w:rPr>
          <w:rFonts w:hint="eastAsia" w:ascii="Times New Roman" w:hAnsi="Times New Roman" w:eastAsia="微软雅黑"/>
          <w:i/>
          <w:sz w:val="20"/>
          <w:szCs w:val="20"/>
        </w:rPr>
        <w:t xml:space="preserve"> requirements are discussed for next stage. </w:t>
      </w:r>
    </w:p>
    <w:p>
      <w:pPr>
        <w:snapToGrid w:val="0"/>
        <w:spacing w:before="180" w:beforeLines="50" w:after="180" w:afterLines="50" w:line="240" w:lineRule="auto"/>
        <w:jc w:val="both"/>
        <w:rPr>
          <w:rFonts w:ascii="Times New Roman" w:hAnsi="Times New Roman" w:eastAsia="微软雅黑"/>
          <w:i/>
          <w:sz w:val="20"/>
          <w:szCs w:val="20"/>
        </w:rPr>
      </w:pPr>
      <w:r>
        <w:rPr>
          <w:rFonts w:hint="eastAsia" w:ascii="Times New Roman" w:hAnsi="Times New Roman" w:eastAsia="微软雅黑"/>
          <w:b/>
          <w:i/>
          <w:sz w:val="20"/>
          <w:szCs w:val="20"/>
        </w:rPr>
        <w:t>Proposal 2:</w:t>
      </w:r>
      <w:r>
        <w:rPr>
          <w:rFonts w:hint="eastAsia" w:ascii="Times New Roman" w:hAnsi="Times New Roman" w:eastAsia="微软雅黑"/>
          <w:i/>
          <w:sz w:val="20"/>
          <w:szCs w:val="20"/>
        </w:rPr>
        <w:t xml:space="preserve"> The scenario parameters common to all scenarios in table 6.1.1-1 in TR 38.855 are reused for evaluation in Rel.17, but the bandwidth should </w:t>
      </w:r>
      <w:r>
        <w:rPr>
          <w:rFonts w:hint="eastAsia" w:ascii="Times New Roman" w:hAnsi="Times New Roman" w:eastAsia="微软雅黑"/>
          <w:i/>
          <w:sz w:val="20"/>
          <w:szCs w:val="20"/>
          <w:lang w:val="en-US" w:eastAsia="zh-CN"/>
        </w:rPr>
        <w:t xml:space="preserve">be </w:t>
      </w:r>
      <w:r>
        <w:rPr>
          <w:rFonts w:hint="eastAsia" w:ascii="Times New Roman" w:hAnsi="Times New Roman" w:eastAsia="微软雅黑"/>
          <w:i/>
          <w:sz w:val="20"/>
          <w:szCs w:val="20"/>
        </w:rPr>
        <w:t>no less than 100MHz.</w:t>
      </w:r>
    </w:p>
    <w:p>
      <w:pPr>
        <w:snapToGrid w:val="0"/>
        <w:spacing w:before="180" w:beforeLines="50" w:after="180" w:afterLines="50" w:line="240" w:lineRule="auto"/>
        <w:jc w:val="both"/>
        <w:rPr>
          <w:rFonts w:ascii="Times New Roman" w:hAnsi="Times New Roman" w:eastAsia="微软雅黑"/>
          <w:i/>
          <w:sz w:val="20"/>
          <w:szCs w:val="20"/>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3</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Common evaluation parameters for IIOT channels in table 7.8-7 in TR 38.901 are reused for evaluation in Rel.17, but the BS antenna configurations, UT antenna configurations, carrier frequency, bandwidth should follow table 6.1.1-1 in TR 38.855.</w:t>
      </w:r>
    </w:p>
    <w:p>
      <w:pPr>
        <w:snapToGrid w:val="0"/>
        <w:spacing w:before="180" w:beforeLines="50" w:after="180" w:afterLines="50" w:line="240" w:lineRule="auto"/>
        <w:jc w:val="both"/>
        <w:rPr>
          <w:rFonts w:ascii="Times New Roman" w:hAnsi="Times New Roman" w:eastAsia="微软雅黑"/>
          <w:i/>
          <w:sz w:val="20"/>
          <w:szCs w:val="20"/>
        </w:rPr>
      </w:pPr>
      <w:r>
        <w:rPr>
          <w:rFonts w:ascii="Times New Roman" w:hAnsi="Times New Roman" w:eastAsia="微软雅黑"/>
          <w:b/>
          <w:i/>
          <w:sz w:val="20"/>
          <w:szCs w:val="20"/>
        </w:rPr>
        <w:t>Observation</w:t>
      </w:r>
      <w:r>
        <w:rPr>
          <w:rFonts w:hint="eastAsia" w:ascii="Times New Roman" w:hAnsi="Times New Roman" w:eastAsia="微软雅黑"/>
          <w:b/>
          <w:i/>
          <w:sz w:val="20"/>
          <w:szCs w:val="20"/>
        </w:rPr>
        <w:t xml:space="preserve"> </w:t>
      </w:r>
      <w:r>
        <w:rPr>
          <w:rFonts w:ascii="Times New Roman" w:hAnsi="Times New Roman" w:eastAsia="微软雅黑"/>
          <w:b/>
          <w:i/>
          <w:sz w:val="20"/>
          <w:szCs w:val="20"/>
        </w:rPr>
        <w:t>1</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w:t>
      </w:r>
      <w:r>
        <w:rPr>
          <w:rFonts w:ascii="Times New Roman" w:hAnsi="Times New Roman" w:eastAsia="微软雅黑"/>
          <w:i/>
          <w:sz w:val="20"/>
          <w:szCs w:val="20"/>
        </w:rPr>
        <w:t>The LOS probability (vs distance) of InF scenarios from high to low are InF-SH, InF-SL, InF-DH, InF-DL.</w:t>
      </w:r>
    </w:p>
    <w:p>
      <w:pPr>
        <w:snapToGrid w:val="0"/>
        <w:spacing w:before="180" w:beforeLines="50" w:after="180" w:afterLines="50" w:line="240" w:lineRule="auto"/>
        <w:jc w:val="both"/>
        <w:rPr>
          <w:rFonts w:ascii="Times New Roman" w:hAnsi="Times New Roman" w:eastAsia="微软雅黑"/>
          <w:i/>
          <w:sz w:val="20"/>
          <w:szCs w:val="20"/>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4</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A proper co</w:t>
      </w:r>
      <w:r>
        <w:rPr>
          <w:rFonts w:ascii="Times New Roman" w:hAnsi="Times New Roman" w:eastAsia="微软雅黑"/>
          <w:i/>
          <w:sz w:val="20"/>
          <w:szCs w:val="20"/>
        </w:rPr>
        <w:t>n</w:t>
      </w:r>
      <w:r>
        <w:rPr>
          <w:rFonts w:hint="eastAsia" w:ascii="Times New Roman" w:hAnsi="Times New Roman" w:eastAsia="微软雅黑"/>
          <w:i/>
          <w:sz w:val="20"/>
          <w:szCs w:val="20"/>
        </w:rPr>
        <w:t>figuration to increase LOS probability for some scenarios should be evaluated.</w:t>
      </w:r>
    </w:p>
    <w:p>
      <w:pPr>
        <w:snapToGrid w:val="0"/>
        <w:spacing w:before="180" w:beforeLines="50" w:after="180" w:afterLines="50" w:line="240" w:lineRule="auto"/>
        <w:jc w:val="both"/>
        <w:rPr>
          <w:rFonts w:ascii="Times New Roman" w:hAnsi="Times New Roman" w:eastAsia="微软雅黑"/>
          <w:i/>
          <w:sz w:val="20"/>
          <w:szCs w:val="20"/>
        </w:rPr>
      </w:pPr>
      <w:r>
        <w:rPr>
          <w:rFonts w:hint="eastAsia" w:ascii="Times New Roman" w:hAnsi="Times New Roman" w:eastAsia="微软雅黑"/>
          <w:b/>
          <w:i/>
          <w:sz w:val="20"/>
          <w:szCs w:val="20"/>
        </w:rPr>
        <w:t xml:space="preserve">Proposal </w:t>
      </w:r>
      <w:r>
        <w:rPr>
          <w:rFonts w:ascii="Times New Roman" w:hAnsi="Times New Roman" w:eastAsia="微软雅黑"/>
          <w:b/>
          <w:i/>
          <w:sz w:val="20"/>
          <w:szCs w:val="20"/>
        </w:rPr>
        <w:t>5</w:t>
      </w:r>
      <w:r>
        <w:rPr>
          <w:rFonts w:hint="eastAsia" w:ascii="Times New Roman" w:hAnsi="Times New Roman" w:eastAsia="微软雅黑"/>
          <w:b/>
          <w:i/>
          <w:sz w:val="20"/>
          <w:szCs w:val="20"/>
        </w:rPr>
        <w:t>:</w:t>
      </w:r>
      <w:r>
        <w:rPr>
          <w:rFonts w:hint="eastAsia" w:ascii="Times New Roman" w:hAnsi="Times New Roman" w:eastAsia="微软雅黑"/>
          <w:i/>
          <w:sz w:val="20"/>
          <w:szCs w:val="20"/>
        </w:rPr>
        <w:t xml:space="preserve"> InF-DH is appropriate for alleys,</w:t>
      </w:r>
      <w:r>
        <w:rPr>
          <w:rFonts w:ascii="Times New Roman" w:hAnsi="Times New Roman" w:eastAsia="微软雅黑"/>
          <w:i/>
          <w:sz w:val="20"/>
          <w:szCs w:val="20"/>
        </w:rPr>
        <w:t xml:space="preserve"> </w:t>
      </w:r>
      <w:r>
        <w:rPr>
          <w:rFonts w:hint="eastAsia" w:ascii="Times New Roman" w:hAnsi="Times New Roman" w:eastAsia="微软雅黑"/>
          <w:i/>
          <w:sz w:val="20"/>
          <w:szCs w:val="20"/>
        </w:rPr>
        <w:t>assembly and production area,</w:t>
      </w:r>
      <w:r>
        <w:rPr>
          <w:rFonts w:ascii="Times New Roman" w:hAnsi="Times New Roman" w:eastAsia="微软雅黑"/>
          <w:i/>
          <w:sz w:val="20"/>
          <w:szCs w:val="20"/>
        </w:rPr>
        <w:t xml:space="preserve"> </w:t>
      </w:r>
      <w:r>
        <w:rPr>
          <w:rFonts w:hint="eastAsia" w:ascii="Times New Roman" w:hAnsi="Times New Roman" w:eastAsia="微软雅黑"/>
          <w:i/>
          <w:sz w:val="20"/>
          <w:szCs w:val="20"/>
        </w:rPr>
        <w:t>which should be considered for further study.</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numPr>
          <w:ilvl w:val="0"/>
          <w:numId w:val="4"/>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RP-193237,</w:t>
      </w:r>
      <w:r>
        <w:rPr>
          <w:rFonts w:ascii="Times New Roman" w:hAnsi="Times New Roman"/>
          <w:sz w:val="20"/>
          <w:szCs w:val="20"/>
        </w:rPr>
        <w:t xml:space="preserve"> </w:t>
      </w:r>
      <w:r>
        <w:rPr>
          <w:rFonts w:hint="eastAsia" w:ascii="Times New Roman" w:hAnsi="Times New Roman"/>
          <w:sz w:val="20"/>
          <w:szCs w:val="20"/>
        </w:rPr>
        <w:t>New SID on NR Positioning Enhancements,</w:t>
      </w:r>
      <w:r>
        <w:rPr>
          <w:rFonts w:ascii="Times New Roman" w:hAnsi="Times New Roman"/>
          <w:sz w:val="20"/>
          <w:szCs w:val="20"/>
        </w:rPr>
        <w:t xml:space="preserve"> </w:t>
      </w:r>
      <w:r>
        <w:rPr>
          <w:rFonts w:hint="eastAsia" w:ascii="Times New Roman" w:hAnsi="Times New Roman"/>
          <w:sz w:val="20"/>
          <w:szCs w:val="20"/>
        </w:rPr>
        <w:t>Qualcomm Incorporated</w:t>
      </w:r>
    </w:p>
    <w:p>
      <w:pPr>
        <w:numPr>
          <w:ilvl w:val="0"/>
          <w:numId w:val="4"/>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3GPP TR 38.901, “Study on channel model for frequencies from 0.5 to 100 GHz”, V16.0.0 (2019-10)</w:t>
      </w:r>
    </w:p>
    <w:p>
      <w:pPr>
        <w:numPr>
          <w:ilvl w:val="0"/>
          <w:numId w:val="4"/>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w:t>
      </w:r>
      <w:r>
        <w:rPr>
          <w:rFonts w:ascii="Times New Roman" w:hAnsi="Times New Roman"/>
          <w:sz w:val="20"/>
          <w:szCs w:val="20"/>
        </w:rPr>
        <w:t>3GPP TR 38.855, “Study on NR positioning support”, V16.0.0 (2019-03)</w:t>
      </w:r>
    </w:p>
    <w:p>
      <w:pPr>
        <w:numPr>
          <w:ilvl w:val="0"/>
          <w:numId w:val="4"/>
        </w:num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 3GPP TR 22.804, “Study on Communication for Automation in Vertical Domains”, V16.2.0 (2018-12)</w:t>
      </w:r>
    </w:p>
    <w:p/>
    <w:p/>
    <w:p/>
    <w:p/>
    <w:p/>
    <w:p/>
    <w:p/>
    <w:p/>
    <w:p>
      <w:pPr>
        <w:rPr>
          <w:rFonts w:hint="eastAsia"/>
          <w:lang w:val="en-US"/>
        </w:rPr>
      </w:pPr>
    </w:p>
    <w:p>
      <w:pPr>
        <w:rPr>
          <w:rFonts w:hint="eastAsia"/>
          <w:lang w:val="en-US"/>
        </w:rPr>
      </w:pPr>
    </w:p>
    <w:p>
      <w:pPr>
        <w:rPr>
          <w:rFonts w:hint="eastAsia"/>
          <w:lang w:val="en-US"/>
        </w:rPr>
      </w:pPr>
    </w:p>
    <w:p>
      <w:pPr>
        <w:rPr>
          <w:rFonts w:hint="eastAsia"/>
          <w:lang w:val="en-US"/>
        </w:rPr>
      </w:pPr>
    </w:p>
    <w:p>
      <w:pPr>
        <w:pStyle w:val="2"/>
        <w:numPr>
          <w:ilvl w:val="0"/>
          <w:numId w:val="0"/>
        </w:numPr>
        <w:snapToGrid w:val="0"/>
        <w:spacing w:before="180" w:beforeLines="50" w:after="180" w:afterLines="50"/>
        <w:rPr>
          <w:rFonts w:ascii="Times New Roman" w:hAnsi="Times New Roman"/>
          <w:sz w:val="28"/>
          <w:szCs w:val="28"/>
          <w:lang w:val="en-US"/>
        </w:rPr>
      </w:pPr>
      <w:r>
        <w:rPr>
          <w:rFonts w:hint="eastAsia"/>
          <w:sz w:val="28"/>
          <w:szCs w:val="28"/>
          <w:lang w:val="en-US"/>
        </w:rPr>
        <w:t>Appendix A</w:t>
      </w:r>
    </w:p>
    <w:p>
      <w:pPr>
        <w:pStyle w:val="58"/>
        <w:rPr>
          <w:rFonts w:ascii="Times New Roman" w:hAnsi="Times New Roman"/>
          <w:lang w:val="en-US" w:eastAsia="zh-CN"/>
        </w:rPr>
      </w:pPr>
      <w:r>
        <w:rPr>
          <w:rFonts w:ascii="Times New Roman" w:hAnsi="Times New Roman"/>
          <w:lang w:val="en-US"/>
        </w:rPr>
        <w:t xml:space="preserve">Table </w:t>
      </w:r>
      <w:r>
        <w:rPr>
          <w:rFonts w:ascii="Times New Roman" w:hAnsi="Times New Roman"/>
          <w:lang w:val="en-US" w:eastAsia="zh-CN"/>
        </w:rPr>
        <w:t>6.</w:t>
      </w:r>
      <w:r>
        <w:rPr>
          <w:rFonts w:ascii="Times New Roman" w:hAnsi="Times New Roman"/>
          <w:lang w:val="en-US"/>
        </w:rPr>
        <w:t>1.1</w:t>
      </w:r>
      <w:r>
        <w:rPr>
          <w:rFonts w:ascii="Times New Roman" w:hAnsi="Times New Roman"/>
          <w:lang w:val="en-US" w:eastAsia="zh-CN"/>
        </w:rPr>
        <w:t>-1:</w:t>
      </w:r>
      <w:r>
        <w:rPr>
          <w:rFonts w:ascii="Times New Roman" w:hAnsi="Times New Roman"/>
          <w:lang w:val="en-US"/>
        </w:rPr>
        <w:t xml:space="preserve"> Common scenario parameters applicable for all scenarios</w:t>
      </w:r>
    </w:p>
    <w:tbl>
      <w:tblPr>
        <w:tblStyle w:val="23"/>
        <w:tblW w:w="9000"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5"/>
        <w:gridCol w:w="2962"/>
        <w:gridCol w:w="3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2355" w:type="dxa"/>
            <w:vAlign w:val="center"/>
          </w:tcPr>
          <w:p>
            <w:pPr>
              <w:pStyle w:val="55"/>
              <w:rPr>
                <w:rFonts w:ascii="Times New Roman" w:hAnsi="Times New Roman"/>
                <w:lang w:val="en-US" w:eastAsia="zh-CN"/>
              </w:rPr>
            </w:pPr>
            <w:bookmarkStart w:id="8" w:name="_GoBack"/>
          </w:p>
        </w:tc>
        <w:tc>
          <w:tcPr>
            <w:tcW w:w="2962" w:type="dxa"/>
          </w:tcPr>
          <w:p>
            <w:pPr>
              <w:pStyle w:val="55"/>
              <w:rPr>
                <w:rFonts w:ascii="Times New Roman" w:hAnsi="Times New Roman"/>
                <w:sz w:val="20"/>
                <w:lang w:val="en-US" w:eastAsia="zh-CN"/>
              </w:rPr>
            </w:pPr>
            <w:r>
              <w:rPr>
                <w:rFonts w:ascii="Times New Roman" w:hAnsi="Times New Roman"/>
                <w:sz w:val="20"/>
                <w:lang w:val="en-US" w:eastAsia="zh-CN"/>
              </w:rPr>
              <w:t>FR1 Specific Values</w:t>
            </w:r>
          </w:p>
        </w:tc>
        <w:tc>
          <w:tcPr>
            <w:tcW w:w="3683" w:type="dxa"/>
          </w:tcPr>
          <w:p>
            <w:pPr>
              <w:pStyle w:val="55"/>
              <w:rPr>
                <w:rFonts w:ascii="Times New Roman" w:hAnsi="Times New Roman"/>
                <w:sz w:val="20"/>
                <w:lang w:val="en-US" w:eastAsia="zh-CN"/>
              </w:rPr>
            </w:pPr>
            <w:r>
              <w:rPr>
                <w:rFonts w:ascii="Times New Roman" w:hAnsi="Times New Roman"/>
                <w:sz w:val="20"/>
                <w:lang w:val="en-US" w:eastAsia="zh-CN"/>
              </w:rPr>
              <w:t xml:space="preserve">FR2 Specific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2355" w:type="dxa"/>
            <w:vAlign w:val="center"/>
          </w:tcPr>
          <w:p>
            <w:pPr>
              <w:pStyle w:val="57"/>
              <w:rPr>
                <w:rFonts w:ascii="Times New Roman" w:hAnsi="Times New Roman"/>
              </w:rPr>
            </w:pPr>
            <w:r>
              <w:rPr>
                <w:rFonts w:ascii="Times New Roman" w:hAnsi="Times New Roman"/>
              </w:rPr>
              <w:t xml:space="preserve">Carrier frequency, GHz </w:t>
            </w:r>
          </w:p>
        </w:tc>
        <w:tc>
          <w:tcPr>
            <w:tcW w:w="2962" w:type="dxa"/>
            <w:vAlign w:val="center"/>
          </w:tcPr>
          <w:p>
            <w:pPr>
              <w:pStyle w:val="57"/>
              <w:rPr>
                <w:rFonts w:ascii="Times New Roman" w:hAnsi="Times New Roman"/>
                <w:szCs w:val="18"/>
              </w:rPr>
            </w:pPr>
            <w:r>
              <w:rPr>
                <w:rFonts w:ascii="Times New Roman" w:hAnsi="Times New Roman"/>
                <w:szCs w:val="18"/>
              </w:rPr>
              <w:t>2GHz, 4GHz – Note 1</w:t>
            </w:r>
          </w:p>
        </w:tc>
        <w:tc>
          <w:tcPr>
            <w:tcW w:w="3683" w:type="dxa"/>
          </w:tcPr>
          <w:p>
            <w:pPr>
              <w:pStyle w:val="57"/>
              <w:rPr>
                <w:rFonts w:ascii="Times New Roman" w:hAnsi="Times New Roman"/>
                <w:szCs w:val="18"/>
              </w:rPr>
            </w:pPr>
            <w:r>
              <w:rPr>
                <w:rFonts w:ascii="Times New Roman" w:hAnsi="Times New Roman"/>
                <w:szCs w:val="18"/>
              </w:rPr>
              <w:t>30 GHz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2355" w:type="dxa"/>
          </w:tcPr>
          <w:p>
            <w:pPr>
              <w:pStyle w:val="57"/>
              <w:rPr>
                <w:rFonts w:ascii="Times New Roman" w:hAnsi="Times New Roman"/>
              </w:rPr>
            </w:pPr>
            <w:r>
              <w:rPr>
                <w:rFonts w:ascii="Times New Roman" w:hAnsi="Times New Roman"/>
              </w:rPr>
              <w:t>Bandwidth, MHz</w:t>
            </w:r>
          </w:p>
        </w:tc>
        <w:tc>
          <w:tcPr>
            <w:tcW w:w="2962" w:type="dxa"/>
          </w:tcPr>
          <w:p>
            <w:pPr>
              <w:pStyle w:val="57"/>
              <w:rPr>
                <w:rFonts w:ascii="Times New Roman" w:hAnsi="Times New Roman"/>
                <w:szCs w:val="18"/>
              </w:rPr>
            </w:pPr>
            <w:r>
              <w:rPr>
                <w:rFonts w:ascii="Times New Roman" w:hAnsi="Times New Roman"/>
                <w:szCs w:val="18"/>
              </w:rPr>
              <w:t>50MHz for 2GHz</w:t>
            </w:r>
          </w:p>
          <w:p>
            <w:pPr>
              <w:pStyle w:val="57"/>
              <w:rPr>
                <w:rFonts w:ascii="Times New Roman" w:hAnsi="Times New Roman"/>
                <w:szCs w:val="18"/>
              </w:rPr>
            </w:pPr>
            <w:r>
              <w:rPr>
                <w:rFonts w:ascii="Times New Roman" w:hAnsi="Times New Roman"/>
                <w:szCs w:val="18"/>
              </w:rPr>
              <w:t>100MHz for 4GHz</w:t>
            </w:r>
          </w:p>
        </w:tc>
        <w:tc>
          <w:tcPr>
            <w:tcW w:w="3683" w:type="dxa"/>
          </w:tcPr>
          <w:p>
            <w:pPr>
              <w:pStyle w:val="57"/>
              <w:rPr>
                <w:rFonts w:ascii="Times New Roman" w:hAnsi="Times New Roman"/>
                <w:szCs w:val="18"/>
              </w:rPr>
            </w:pPr>
            <w:r>
              <w:rPr>
                <w:rFonts w:ascii="Times New Roman" w:hAnsi="Times New Roman"/>
                <w:szCs w:val="18"/>
              </w:rPr>
              <w:t xml:space="preserve">100MHz, 400MHz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355" w:type="dxa"/>
          </w:tcPr>
          <w:p>
            <w:pPr>
              <w:pStyle w:val="57"/>
              <w:rPr>
                <w:rFonts w:ascii="Times New Roman" w:hAnsi="Times New Roman"/>
              </w:rPr>
            </w:pPr>
            <w:r>
              <w:rPr>
                <w:rFonts w:ascii="Times New Roman" w:hAnsi="Times New Roman"/>
              </w:rPr>
              <w:t>Subcarrier spacing, kHz</w:t>
            </w:r>
          </w:p>
        </w:tc>
        <w:tc>
          <w:tcPr>
            <w:tcW w:w="2962" w:type="dxa"/>
          </w:tcPr>
          <w:p>
            <w:pPr>
              <w:pStyle w:val="57"/>
              <w:rPr>
                <w:rFonts w:ascii="Times New Roman" w:hAnsi="Times New Roman"/>
                <w:szCs w:val="18"/>
              </w:rPr>
            </w:pPr>
            <w:r>
              <w:rPr>
                <w:rFonts w:ascii="Times New Roman" w:hAnsi="Times New Roman"/>
                <w:szCs w:val="18"/>
              </w:rPr>
              <w:t>15kHz for 5MHz and 50MHz</w:t>
            </w:r>
          </w:p>
          <w:p>
            <w:pPr>
              <w:pStyle w:val="57"/>
              <w:rPr>
                <w:rFonts w:ascii="Times New Roman" w:hAnsi="Times New Roman"/>
                <w:szCs w:val="18"/>
              </w:rPr>
            </w:pPr>
            <w:r>
              <w:rPr>
                <w:rFonts w:ascii="Times New Roman" w:hAnsi="Times New Roman"/>
                <w:szCs w:val="18"/>
              </w:rPr>
              <w:t xml:space="preserve">30kHz for 100MHz </w:t>
            </w:r>
          </w:p>
        </w:tc>
        <w:tc>
          <w:tcPr>
            <w:tcW w:w="3683" w:type="dxa"/>
          </w:tcPr>
          <w:p>
            <w:pPr>
              <w:pStyle w:val="57"/>
              <w:rPr>
                <w:rFonts w:ascii="Times New Roman" w:hAnsi="Times New Roman"/>
                <w:szCs w:val="18"/>
              </w:rPr>
            </w:pPr>
            <w:r>
              <w:rPr>
                <w:rFonts w:ascii="Times New Roman" w:hAnsi="Times New Roman"/>
                <w:szCs w:val="18"/>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2355" w:type="dxa"/>
            <w:shd w:val="clear" w:color="auto" w:fill="D0CECE"/>
          </w:tcPr>
          <w:p>
            <w:pPr>
              <w:pStyle w:val="55"/>
              <w:rPr>
                <w:rFonts w:ascii="Times New Roman" w:hAnsi="Times New Roman"/>
                <w:lang w:val="en-US" w:eastAsia="zh-CN"/>
              </w:rPr>
            </w:pPr>
            <w:r>
              <w:rPr>
                <w:rFonts w:ascii="Times New Roman" w:hAnsi="Times New Roman"/>
                <w:lang w:val="en-US" w:eastAsia="zh-CN"/>
              </w:rPr>
              <w:t xml:space="preserve">gNB model parameters </w:t>
            </w:r>
          </w:p>
        </w:tc>
        <w:tc>
          <w:tcPr>
            <w:tcW w:w="2962" w:type="dxa"/>
            <w:shd w:val="clear" w:color="auto" w:fill="D0CECE"/>
          </w:tcPr>
          <w:p>
            <w:pPr>
              <w:pStyle w:val="55"/>
              <w:rPr>
                <w:rFonts w:ascii="Times New Roman" w:hAnsi="Times New Roman"/>
                <w:szCs w:val="18"/>
                <w:lang w:val="en-US" w:eastAsia="zh-CN"/>
              </w:rPr>
            </w:pPr>
          </w:p>
        </w:tc>
        <w:tc>
          <w:tcPr>
            <w:tcW w:w="3683" w:type="dxa"/>
            <w:shd w:val="clear" w:color="auto" w:fill="D0CECE"/>
          </w:tcPr>
          <w:p>
            <w:pPr>
              <w:pStyle w:val="55"/>
              <w:rPr>
                <w:rFonts w:ascii="Times New Roman" w:hAnsi="Times New Roman"/>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2355" w:type="dxa"/>
          </w:tcPr>
          <w:p>
            <w:pPr>
              <w:pStyle w:val="57"/>
              <w:rPr>
                <w:rFonts w:ascii="Times New Roman" w:hAnsi="Times New Roman"/>
              </w:rPr>
            </w:pPr>
            <w:r>
              <w:rPr>
                <w:rFonts w:ascii="Times New Roman" w:hAnsi="Times New Roman"/>
              </w:rPr>
              <w:t>gNB noise figure, dB</w:t>
            </w:r>
          </w:p>
        </w:tc>
        <w:tc>
          <w:tcPr>
            <w:tcW w:w="2962" w:type="dxa"/>
          </w:tcPr>
          <w:p>
            <w:pPr>
              <w:pStyle w:val="57"/>
              <w:rPr>
                <w:rFonts w:ascii="Times New Roman" w:hAnsi="Times New Roman"/>
                <w:szCs w:val="18"/>
              </w:rPr>
            </w:pPr>
            <w:r>
              <w:rPr>
                <w:rFonts w:ascii="Times New Roman" w:hAnsi="Times New Roman"/>
                <w:szCs w:val="18"/>
              </w:rPr>
              <w:t>5dB</w:t>
            </w:r>
          </w:p>
        </w:tc>
        <w:tc>
          <w:tcPr>
            <w:tcW w:w="3683" w:type="dxa"/>
          </w:tcPr>
          <w:p>
            <w:pPr>
              <w:pStyle w:val="57"/>
              <w:rPr>
                <w:rFonts w:ascii="Times New Roman" w:hAnsi="Times New Roman"/>
                <w:szCs w:val="18"/>
              </w:rPr>
            </w:pPr>
            <w:r>
              <w:rPr>
                <w:rFonts w:ascii="Times New Roman" w:hAnsi="Times New Roman"/>
                <w:szCs w:val="18"/>
              </w:rPr>
              <w:t>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2355" w:type="dxa"/>
          </w:tcPr>
          <w:p>
            <w:pPr>
              <w:pStyle w:val="57"/>
              <w:rPr>
                <w:rFonts w:ascii="Times New Roman" w:hAnsi="Times New Roman"/>
              </w:rPr>
            </w:pPr>
            <w:r>
              <w:rPr>
                <w:rFonts w:ascii="Times New Roman" w:hAnsi="Times New Roman"/>
              </w:rPr>
              <w:t>UE max. TX power, dBm</w:t>
            </w:r>
          </w:p>
        </w:tc>
        <w:tc>
          <w:tcPr>
            <w:tcW w:w="2962" w:type="dxa"/>
          </w:tcPr>
          <w:p>
            <w:pPr>
              <w:pStyle w:val="57"/>
              <w:rPr>
                <w:rFonts w:ascii="Times New Roman" w:hAnsi="Times New Roman"/>
                <w:szCs w:val="18"/>
              </w:rPr>
            </w:pPr>
            <w:r>
              <w:rPr>
                <w:rFonts w:ascii="Times New Roman" w:hAnsi="Times New Roman"/>
                <w:szCs w:val="18"/>
              </w:rPr>
              <w:t>23dBm – Note 1</w:t>
            </w:r>
          </w:p>
        </w:tc>
        <w:tc>
          <w:tcPr>
            <w:tcW w:w="3683" w:type="dxa"/>
          </w:tcPr>
          <w:p>
            <w:pPr>
              <w:pStyle w:val="57"/>
              <w:rPr>
                <w:rFonts w:ascii="Times New Roman" w:hAnsi="Times New Roman"/>
                <w:szCs w:val="18"/>
              </w:rPr>
            </w:pPr>
            <w:r>
              <w:rPr>
                <w:rFonts w:ascii="Times New Roman" w:hAnsi="Times New Roman"/>
                <w:szCs w:val="18"/>
              </w:rPr>
              <w:t>23dBm – Note 1</w:t>
            </w:r>
          </w:p>
          <w:p>
            <w:pPr>
              <w:pStyle w:val="57"/>
              <w:rPr>
                <w:rFonts w:ascii="Times New Roman" w:hAnsi="Times New Roman"/>
                <w:szCs w:val="18"/>
              </w:rPr>
            </w:pPr>
            <w:r>
              <w:rPr>
                <w:rFonts w:ascii="Times New Roman" w:hAnsi="Times New Roman"/>
                <w:szCs w:val="18"/>
              </w:rPr>
              <w:t>EIRP should not exceed 43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 w:hRule="atLeast"/>
        </w:trPr>
        <w:tc>
          <w:tcPr>
            <w:tcW w:w="2355" w:type="dxa"/>
            <w:shd w:val="clear" w:color="auto" w:fill="D0CECE"/>
          </w:tcPr>
          <w:p>
            <w:pPr>
              <w:pStyle w:val="55"/>
              <w:rPr>
                <w:rFonts w:ascii="Times New Roman" w:hAnsi="Times New Roman"/>
                <w:lang w:val="en-US" w:eastAsia="zh-CN"/>
              </w:rPr>
            </w:pPr>
            <w:r>
              <w:rPr>
                <w:rFonts w:ascii="Times New Roman" w:hAnsi="Times New Roman"/>
                <w:lang w:val="en-US" w:eastAsia="zh-CN"/>
              </w:rPr>
              <w:t xml:space="preserve">UE model parameters </w:t>
            </w:r>
          </w:p>
        </w:tc>
        <w:tc>
          <w:tcPr>
            <w:tcW w:w="2962" w:type="dxa"/>
            <w:shd w:val="clear" w:color="auto" w:fill="D0CECE"/>
          </w:tcPr>
          <w:p>
            <w:pPr>
              <w:pStyle w:val="55"/>
              <w:rPr>
                <w:rFonts w:ascii="Times New Roman" w:hAnsi="Times New Roman"/>
                <w:szCs w:val="18"/>
                <w:lang w:val="en-US" w:eastAsia="zh-CN"/>
              </w:rPr>
            </w:pPr>
          </w:p>
        </w:tc>
        <w:tc>
          <w:tcPr>
            <w:tcW w:w="3683" w:type="dxa"/>
            <w:shd w:val="clear" w:color="auto" w:fill="D0CECE"/>
          </w:tcPr>
          <w:p>
            <w:pPr>
              <w:pStyle w:val="55"/>
              <w:rPr>
                <w:rFonts w:ascii="Times New Roman" w:hAnsi="Times New Roman"/>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2355" w:type="dxa"/>
            <w:vAlign w:val="center"/>
          </w:tcPr>
          <w:p>
            <w:pPr>
              <w:pStyle w:val="57"/>
              <w:rPr>
                <w:rFonts w:ascii="Times New Roman" w:hAnsi="Times New Roman"/>
              </w:rPr>
            </w:pPr>
            <w:r>
              <w:rPr>
                <w:rFonts w:ascii="Times New Roman" w:hAnsi="Times New Roman"/>
              </w:rPr>
              <w:t>UE noise figure, dB</w:t>
            </w:r>
          </w:p>
        </w:tc>
        <w:tc>
          <w:tcPr>
            <w:tcW w:w="2962" w:type="dxa"/>
            <w:vAlign w:val="center"/>
          </w:tcPr>
          <w:p>
            <w:pPr>
              <w:pStyle w:val="57"/>
              <w:rPr>
                <w:rFonts w:ascii="Times New Roman" w:hAnsi="Times New Roman"/>
                <w:szCs w:val="18"/>
              </w:rPr>
            </w:pPr>
            <w:r>
              <w:rPr>
                <w:rFonts w:ascii="Times New Roman" w:hAnsi="Times New Roman"/>
                <w:szCs w:val="18"/>
              </w:rPr>
              <w:t>9dB – Note 1</w:t>
            </w:r>
          </w:p>
        </w:tc>
        <w:tc>
          <w:tcPr>
            <w:tcW w:w="3683" w:type="dxa"/>
          </w:tcPr>
          <w:p>
            <w:pPr>
              <w:pStyle w:val="57"/>
              <w:rPr>
                <w:rFonts w:ascii="Times New Roman" w:hAnsi="Times New Roman"/>
                <w:szCs w:val="18"/>
              </w:rPr>
            </w:pPr>
            <w:r>
              <w:rPr>
                <w:rFonts w:ascii="Times New Roman" w:hAnsi="Times New Roman"/>
                <w:szCs w:val="18"/>
              </w:rPr>
              <w:t>13dB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7" w:hRule="atLeast"/>
        </w:trPr>
        <w:tc>
          <w:tcPr>
            <w:tcW w:w="2355" w:type="dxa"/>
            <w:vAlign w:val="center"/>
          </w:tcPr>
          <w:p>
            <w:pPr>
              <w:pStyle w:val="57"/>
              <w:rPr>
                <w:rFonts w:ascii="Times New Roman" w:hAnsi="Times New Roman"/>
              </w:rPr>
            </w:pPr>
            <w:r>
              <w:rPr>
                <w:rFonts w:ascii="Times New Roman" w:hAnsi="Times New Roman"/>
              </w:rPr>
              <w:t>UE antenna configuration</w:t>
            </w:r>
          </w:p>
        </w:tc>
        <w:tc>
          <w:tcPr>
            <w:tcW w:w="2962" w:type="dxa"/>
            <w:vAlign w:val="center"/>
          </w:tcPr>
          <w:p>
            <w:pPr>
              <w:pStyle w:val="57"/>
              <w:rPr>
                <w:rFonts w:ascii="Times New Roman" w:hAnsi="Times New Roman"/>
                <w:szCs w:val="18"/>
              </w:rPr>
            </w:pPr>
            <w:r>
              <w:rPr>
                <w:rFonts w:ascii="Times New Roman" w:hAnsi="Times New Roman"/>
                <w:szCs w:val="18"/>
              </w:rPr>
              <w:t>Panel model 1 – Note 1</w:t>
            </w:r>
          </w:p>
          <w:p>
            <w:pPr>
              <w:pStyle w:val="57"/>
              <w:rPr>
                <w:rFonts w:ascii="Times New Roman" w:hAnsi="Times New Roman"/>
                <w:szCs w:val="18"/>
              </w:rPr>
            </w:pPr>
            <w:r>
              <w:rPr>
                <w:rStyle w:val="87"/>
                <w:rFonts w:ascii="Times New Roman" w:hAnsi="Times New Roman"/>
                <w:color w:val="181818"/>
                <w:szCs w:val="18"/>
              </w:rPr>
              <w:t xml:space="preserve">Mg = 1, Ng = 1, P = 2, </w:t>
            </w:r>
            <w:r>
              <w:rPr>
                <w:rStyle w:val="88"/>
                <w:rFonts w:ascii="Times New Roman" w:hAnsi="Times New Roman"/>
                <w:color w:val="181818"/>
                <w:szCs w:val="18"/>
              </w:rPr>
              <w:t>dH</w:t>
            </w:r>
            <w:r>
              <w:rPr>
                <w:rStyle w:val="87"/>
                <w:rFonts w:ascii="Times New Roman" w:hAnsi="Times New Roman"/>
                <w:color w:val="181818"/>
                <w:szCs w:val="18"/>
              </w:rPr>
              <w:t xml:space="preserve"> = 0.5λ,</w:t>
            </w:r>
            <w:r>
              <w:rPr>
                <w:rFonts w:ascii="Times New Roman" w:hAnsi="Times New Roman"/>
                <w:color w:val="181818"/>
                <w:szCs w:val="18"/>
              </w:rPr>
              <w:br w:type="textWrapping"/>
            </w:r>
            <w:r>
              <w:rPr>
                <w:rStyle w:val="87"/>
                <w:rFonts w:ascii="Times New Roman" w:hAnsi="Times New Roman"/>
                <w:color w:val="181818"/>
                <w:szCs w:val="18"/>
              </w:rPr>
              <w:t>(M, N, P, Mg, Ng) = (1, 2, 2, 1, 1)</w:t>
            </w:r>
          </w:p>
        </w:tc>
        <w:tc>
          <w:tcPr>
            <w:tcW w:w="3683" w:type="dxa"/>
          </w:tcPr>
          <w:p>
            <w:pPr>
              <w:pStyle w:val="57"/>
              <w:rPr>
                <w:rFonts w:ascii="Times New Roman" w:hAnsi="Times New Roman"/>
                <w:szCs w:val="18"/>
              </w:rPr>
            </w:pPr>
            <w:r>
              <w:rPr>
                <w:rFonts w:ascii="Times New Roman" w:hAnsi="Times New Roman"/>
                <w:szCs w:val="18"/>
              </w:rPr>
              <w:t>Multi-panel Configuration 1 and Panel Configuration a – Note 1</w:t>
            </w:r>
          </w:p>
          <w:p>
            <w:pPr>
              <w:pStyle w:val="79"/>
              <w:spacing w:after="0"/>
              <w:ind w:left="460" w:hanging="230"/>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r>
            <w:r>
              <w:rPr>
                <w:rFonts w:ascii="Times New Roman" w:hAnsi="Times New Roman"/>
                <w:sz w:val="18"/>
                <w:szCs w:val="18"/>
              </w:rPr>
              <w:t>Multi-panel Configuration 1: (Mg, Ng) = (1, 2); Θmg,ng=90°; Ω0,1=Ω0,0+180°; (dg,H, dg,V)=(0,0)</w:t>
            </w:r>
          </w:p>
          <w:p>
            <w:pPr>
              <w:pStyle w:val="79"/>
              <w:spacing w:after="0"/>
              <w:ind w:left="460" w:hanging="230"/>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r>
            <w:r>
              <w:rPr>
                <w:rFonts w:ascii="Times New Roman" w:hAnsi="Times New Roman"/>
                <w:sz w:val="18"/>
                <w:szCs w:val="18"/>
              </w:rPr>
              <w:t>Panel Configuration a:</w:t>
            </w:r>
          </w:p>
          <w:p>
            <w:pPr>
              <w:pStyle w:val="74"/>
              <w:spacing w:after="0"/>
              <w:ind w:left="689" w:hanging="230"/>
              <w:rPr>
                <w:sz w:val="18"/>
                <w:szCs w:val="18"/>
                <w:lang w:val="en-US" w:eastAsia="zh-CN"/>
              </w:rPr>
            </w:pPr>
            <w:r>
              <w:rPr>
                <w:sz w:val="18"/>
                <w:szCs w:val="18"/>
                <w:lang w:val="en-US" w:eastAsia="zh-CN"/>
              </w:rPr>
              <w:t>-</w:t>
            </w:r>
            <w:r>
              <w:rPr>
                <w:sz w:val="18"/>
                <w:szCs w:val="18"/>
                <w:lang w:val="en-US" w:eastAsia="zh-CN"/>
              </w:rPr>
              <w:tab/>
            </w:r>
            <w:r>
              <w:rPr>
                <w:sz w:val="18"/>
                <w:szCs w:val="18"/>
                <w:lang w:val="en-US" w:eastAsia="zh-CN"/>
              </w:rPr>
              <w:t>Each antenna array has shape dH=dV=0.5λ</w:t>
            </w:r>
          </w:p>
          <w:p>
            <w:pPr>
              <w:pStyle w:val="74"/>
              <w:spacing w:after="0"/>
              <w:ind w:left="689" w:hanging="230"/>
              <w:rPr>
                <w:sz w:val="18"/>
                <w:szCs w:val="18"/>
                <w:lang w:val="en-US" w:eastAsia="zh-CN"/>
              </w:rPr>
            </w:pPr>
            <w:r>
              <w:rPr>
                <w:sz w:val="18"/>
                <w:szCs w:val="18"/>
                <w:lang w:val="en-US" w:eastAsia="zh-CN"/>
              </w:rPr>
              <w:t>-</w:t>
            </w:r>
            <w:r>
              <w:rPr>
                <w:sz w:val="18"/>
                <w:szCs w:val="18"/>
                <w:lang w:val="en-US" w:eastAsia="zh-CN"/>
              </w:rPr>
              <w:tab/>
            </w:r>
            <w:r>
              <w:rPr>
                <w:sz w:val="18"/>
                <w:szCs w:val="18"/>
                <w:lang w:val="en-US" w:eastAsia="zh-CN"/>
              </w:rPr>
              <w:t>Config a: (M, N, P) = (2, 4, 2),</w:t>
            </w:r>
          </w:p>
          <w:p>
            <w:pPr>
              <w:pStyle w:val="74"/>
              <w:spacing w:after="0"/>
              <w:ind w:left="689" w:hanging="230"/>
              <w:rPr>
                <w:sz w:val="18"/>
                <w:szCs w:val="18"/>
                <w:lang w:val="en-US" w:eastAsia="zh-CN"/>
              </w:rPr>
            </w:pPr>
            <w:r>
              <w:rPr>
                <w:sz w:val="18"/>
                <w:szCs w:val="18"/>
                <w:lang w:val="en-US" w:eastAsia="zh-CN"/>
              </w:rPr>
              <w:t>-</w:t>
            </w:r>
            <w:r>
              <w:rPr>
                <w:sz w:val="18"/>
                <w:szCs w:val="18"/>
                <w:lang w:val="en-US" w:eastAsia="zh-CN"/>
              </w:rPr>
              <w:tab/>
            </w:r>
            <w:r>
              <w:rPr>
                <w:sz w:val="18"/>
                <w:szCs w:val="18"/>
                <w:lang w:val="en-US" w:eastAsia="zh-CN"/>
              </w:rPr>
              <w:t>the polarization angles are 0° and 90°</w:t>
            </w:r>
          </w:p>
          <w:p>
            <w:pPr>
              <w:pStyle w:val="74"/>
              <w:spacing w:after="0"/>
              <w:ind w:left="689" w:hanging="230"/>
              <w:rPr>
                <w:sz w:val="18"/>
                <w:szCs w:val="18"/>
                <w:lang w:val="en-US" w:eastAsia="zh-CN"/>
              </w:rPr>
            </w:pPr>
            <w:r>
              <w:rPr>
                <w:sz w:val="18"/>
                <w:szCs w:val="18"/>
                <w:lang w:val="en-US" w:eastAsia="zh-CN"/>
              </w:rPr>
              <w:t>-</w:t>
            </w:r>
            <w:r>
              <w:rPr>
                <w:sz w:val="18"/>
                <w:szCs w:val="18"/>
                <w:lang w:val="en-US" w:eastAsia="zh-CN"/>
              </w:rPr>
              <w:tab/>
            </w:r>
            <w:r>
              <w:rPr>
                <w:sz w:val="18"/>
                <w:szCs w:val="18"/>
                <w:lang w:val="en-US" w:eastAsia="zh-CN"/>
              </w:rPr>
              <w:t>The antenna elements of the same polarization of the same panel is virtualized into one TXRU</w:t>
            </w:r>
          </w:p>
          <w:p>
            <w:pPr>
              <w:pStyle w:val="74"/>
              <w:spacing w:after="0"/>
              <w:ind w:left="689" w:hanging="230"/>
              <w:rPr>
                <w:sz w:val="18"/>
                <w:szCs w:val="18"/>
                <w:lang w:val="en-US" w:eastAsia="zh-CN"/>
              </w:rPr>
            </w:pPr>
            <w:r>
              <w:rPr>
                <w:sz w:val="18"/>
                <w:szCs w:val="18"/>
                <w:lang w:val="en-US" w:eastAsia="zh-CN"/>
              </w:rPr>
              <w:t>-</w:t>
            </w:r>
            <w:r>
              <w:rPr>
                <w:sz w:val="18"/>
                <w:szCs w:val="18"/>
                <w:lang w:val="en-US" w:eastAsia="zh-CN"/>
              </w:rPr>
              <w:tab/>
            </w:r>
            <w:r>
              <w:rPr>
                <w:sz w:val="18"/>
                <w:szCs w:val="18"/>
                <w:lang w:val="en-US" w:eastAsia="zh-CN"/>
              </w:rPr>
              <w:t>Optional: Provided by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2355" w:type="dxa"/>
          </w:tcPr>
          <w:p>
            <w:pPr>
              <w:pStyle w:val="57"/>
              <w:rPr>
                <w:rFonts w:ascii="Times New Roman" w:hAnsi="Times New Roman"/>
              </w:rPr>
            </w:pPr>
            <w:r>
              <w:rPr>
                <w:rFonts w:ascii="Times New Roman" w:hAnsi="Times New Roman"/>
              </w:rPr>
              <w:t xml:space="preserve">UE antenna radiation pattern </w:t>
            </w:r>
          </w:p>
        </w:tc>
        <w:tc>
          <w:tcPr>
            <w:tcW w:w="2962" w:type="dxa"/>
          </w:tcPr>
          <w:p>
            <w:pPr>
              <w:pStyle w:val="57"/>
              <w:rPr>
                <w:rFonts w:ascii="Times New Roman" w:hAnsi="Times New Roman"/>
                <w:szCs w:val="18"/>
              </w:rPr>
            </w:pPr>
            <w:r>
              <w:rPr>
                <w:rFonts w:ascii="Times New Roman" w:hAnsi="Times New Roman"/>
                <w:szCs w:val="18"/>
              </w:rPr>
              <w:t>Omni, 0dBi</w:t>
            </w:r>
          </w:p>
        </w:tc>
        <w:tc>
          <w:tcPr>
            <w:tcW w:w="3683" w:type="dxa"/>
          </w:tcPr>
          <w:p>
            <w:pPr>
              <w:pStyle w:val="57"/>
              <w:rPr>
                <w:rFonts w:hint="eastAsia" w:ascii="Times New Roman" w:hAnsi="Times New Roman" w:eastAsiaTheme="minorEastAsia"/>
                <w:szCs w:val="18"/>
                <w:lang w:val="en-US" w:eastAsia="zh-CN"/>
              </w:rPr>
            </w:pPr>
            <w:r>
              <w:rPr>
                <w:rFonts w:ascii="Times New Roman" w:hAnsi="Times New Roman"/>
                <w:szCs w:val="18"/>
              </w:rPr>
              <w:t>Antenna model according to Table 6.1.1-2</w:t>
            </w:r>
            <w:r>
              <w:rPr>
                <w:rFonts w:hint="eastAsia" w:ascii="Times New Roman" w:hAnsi="Times New Roman"/>
                <w:szCs w:val="18"/>
                <w:lang w:val="en-US" w:eastAsia="zh-CN"/>
              </w:rPr>
              <w:t xml:space="preserve"> </w:t>
            </w:r>
            <w:r>
              <w:rPr>
                <w:rFonts w:ascii="Times New Roman" w:hAnsi="Times New Roman"/>
                <w:lang w:val="en-US"/>
              </w:rPr>
              <w:t>in TR 38.855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2355" w:type="dxa"/>
          </w:tcPr>
          <w:p>
            <w:pPr>
              <w:pStyle w:val="57"/>
              <w:rPr>
                <w:rFonts w:ascii="Times New Roman" w:hAnsi="Times New Roman"/>
              </w:rPr>
            </w:pPr>
            <w:r>
              <w:rPr>
                <w:rFonts w:ascii="Times New Roman" w:hAnsi="Times New Roman"/>
              </w:rPr>
              <w:t>PHY/link level abstraction</w:t>
            </w:r>
          </w:p>
        </w:tc>
        <w:tc>
          <w:tcPr>
            <w:tcW w:w="6645" w:type="dxa"/>
            <w:gridSpan w:val="2"/>
          </w:tcPr>
          <w:p>
            <w:pPr>
              <w:pStyle w:val="57"/>
              <w:rPr>
                <w:rFonts w:ascii="Times New Roman" w:hAnsi="Times New Roman"/>
                <w:szCs w:val="18"/>
              </w:rPr>
            </w:pPr>
            <w:r>
              <w:rPr>
                <w:rFonts w:ascii="Times New Roman" w:hAnsi="Times New Roman"/>
                <w:szCs w:val="18"/>
              </w:rPr>
              <w:t>Explicit simulation of all links, individual parameters estimation is applied. Companies to provide description of applied algorithms for estimation of signal location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7" w:hRule="atLeast"/>
        </w:trPr>
        <w:tc>
          <w:tcPr>
            <w:tcW w:w="2355" w:type="dxa"/>
          </w:tcPr>
          <w:p>
            <w:pPr>
              <w:pStyle w:val="57"/>
              <w:rPr>
                <w:rFonts w:ascii="Times New Roman" w:hAnsi="Times New Roman"/>
              </w:rPr>
            </w:pPr>
            <w:r>
              <w:rPr>
                <w:rFonts w:ascii="Times New Roman" w:hAnsi="Times New Roman"/>
              </w:rPr>
              <w:t>Network synchronization</w:t>
            </w:r>
          </w:p>
        </w:tc>
        <w:tc>
          <w:tcPr>
            <w:tcW w:w="6645" w:type="dxa"/>
            <w:gridSpan w:val="2"/>
          </w:tcPr>
          <w:p>
            <w:pPr>
              <w:pStyle w:val="57"/>
              <w:rPr>
                <w:rFonts w:ascii="Times New Roman" w:hAnsi="Times New Roman"/>
                <w:szCs w:val="18"/>
              </w:rPr>
            </w:pPr>
            <w:r>
              <w:rPr>
                <w:rFonts w:ascii="Times New Roman" w:hAnsi="Times New Roman"/>
                <w:szCs w:val="18"/>
              </w:rPr>
              <w:t xml:space="preserve">The network synchronization error, per UE dropping, is defined as a truncated Gaussian distribution of (T1 ns) rms values between an </w:t>
            </w:r>
            <w:r>
              <w:rPr>
                <w:rFonts w:hint="eastAsia" w:ascii="Times New Roman" w:hAnsi="Times New Roman"/>
                <w:szCs w:val="18"/>
                <w:lang w:val="en-US" w:eastAsia="zh-CN"/>
              </w:rPr>
              <w:t>g</w:t>
            </w:r>
            <w:r>
              <w:rPr>
                <w:rFonts w:ascii="Times New Roman" w:hAnsi="Times New Roman"/>
                <w:szCs w:val="18"/>
              </w:rPr>
              <w:t>NB and a timing reference source which is assumed to have perfect timing, subject to a largest timing difference of T2 ns, where T2 = 2*T1</w:t>
            </w:r>
          </w:p>
          <w:p>
            <w:pPr>
              <w:pStyle w:val="57"/>
              <w:rPr>
                <w:rFonts w:ascii="Times New Roman" w:hAnsi="Times New Roman"/>
                <w:szCs w:val="18"/>
              </w:rPr>
            </w:pPr>
            <w:r>
              <w:rPr>
                <w:rFonts w:ascii="Times New Roman" w:hAnsi="Times New Roman"/>
                <w:szCs w:val="18"/>
              </w:rPr>
              <w:t>–</w:t>
            </w:r>
            <w:r>
              <w:rPr>
                <w:rFonts w:ascii="Times New Roman" w:hAnsi="Times New Roman"/>
                <w:szCs w:val="18"/>
              </w:rPr>
              <w:tab/>
            </w:r>
            <w:r>
              <w:rPr>
                <w:rFonts w:ascii="Times New Roman" w:hAnsi="Times New Roman"/>
                <w:szCs w:val="18"/>
              </w:rPr>
              <w:t>That is, the range of timing errors is [-T2, T2]</w:t>
            </w:r>
          </w:p>
          <w:p>
            <w:pPr>
              <w:pStyle w:val="57"/>
              <w:rPr>
                <w:rFonts w:ascii="Times New Roman" w:hAnsi="Times New Roman"/>
                <w:szCs w:val="18"/>
              </w:rPr>
            </w:pPr>
            <w:r>
              <w:rPr>
                <w:rFonts w:ascii="Times New Roman" w:hAnsi="Times New Roman"/>
                <w:szCs w:val="18"/>
              </w:rPr>
              <w:t>–</w:t>
            </w:r>
            <w:r>
              <w:rPr>
                <w:rFonts w:ascii="Times New Roman" w:hAnsi="Times New Roman"/>
                <w:szCs w:val="18"/>
              </w:rPr>
              <w:tab/>
            </w:r>
            <w:r>
              <w:rPr>
                <w:rFonts w:ascii="Times New Roman" w:hAnsi="Times New Roman"/>
                <w:szCs w:val="18"/>
              </w:rPr>
              <w:t>T1:</w:t>
            </w:r>
            <w:r>
              <w:rPr>
                <w:rFonts w:ascii="Times New Roman" w:hAnsi="Times New Roman"/>
                <w:szCs w:val="18"/>
              </w:rPr>
              <w:tab/>
            </w:r>
            <w:r>
              <w:rPr>
                <w:rFonts w:ascii="Times New Roman" w:hAnsi="Times New Roman"/>
                <w:szCs w:val="18"/>
              </w:rPr>
              <w:t xml:space="preserve">0ns (perfectly synchronized), 50ns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9000" w:type="dxa"/>
            <w:gridSpan w:val="3"/>
          </w:tcPr>
          <w:p>
            <w:pPr>
              <w:pStyle w:val="59"/>
              <w:ind w:left="689" w:hanging="689"/>
              <w:rPr>
                <w:rFonts w:ascii="Times New Roman" w:hAnsi="Times New Roman"/>
                <w:lang w:val="en-US" w:eastAsia="zh-CN"/>
              </w:rPr>
            </w:pPr>
            <w:r>
              <w:rPr>
                <w:rFonts w:ascii="Times New Roman" w:hAnsi="Times New Roman"/>
                <w:lang w:val="en-US" w:eastAsia="zh-CN"/>
              </w:rPr>
              <w:t>Note 1:</w:t>
            </w:r>
            <w:r>
              <w:rPr>
                <w:rFonts w:ascii="Times New Roman" w:hAnsi="Times New Roman"/>
                <w:lang w:val="en-US" w:eastAsia="zh-CN"/>
              </w:rPr>
              <w:tab/>
            </w:r>
            <w:r>
              <w:rPr>
                <w:rFonts w:ascii="Times New Roman" w:hAnsi="Times New Roman"/>
                <w:lang w:val="en-US" w:eastAsia="zh-CN"/>
              </w:rPr>
              <w:t>According to 3GPP TR 38.802</w:t>
            </w:r>
          </w:p>
          <w:p>
            <w:pPr>
              <w:pStyle w:val="59"/>
              <w:ind w:left="689" w:hanging="689"/>
              <w:rPr>
                <w:rFonts w:ascii="Times New Roman" w:hAnsi="Times New Roman"/>
                <w:kern w:val="2"/>
                <w:lang w:val="en-US" w:eastAsia="zh-CN"/>
              </w:rPr>
            </w:pPr>
            <w:r>
              <w:rPr>
                <w:rFonts w:ascii="Times New Roman" w:hAnsi="Times New Roman"/>
                <w:lang w:val="en-US" w:eastAsia="zh-CN"/>
              </w:rPr>
              <w:t>Note 2:</w:t>
            </w:r>
            <w:r>
              <w:rPr>
                <w:rFonts w:ascii="Times New Roman" w:hAnsi="Times New Roman"/>
                <w:lang w:val="en-US" w:eastAsia="zh-CN"/>
              </w:rPr>
              <w:tab/>
            </w:r>
            <w:r>
              <w:rPr>
                <w:rFonts w:ascii="Times New Roman" w:hAnsi="Times New Roman"/>
                <w:lang w:val="en-US" w:eastAsia="zh-CN"/>
              </w:rPr>
              <w:t>According to 3GPP TR 38.901</w:t>
            </w:r>
          </w:p>
        </w:tc>
      </w:tr>
      <w:bookmarkEnd w:id="8"/>
    </w:tbl>
    <w:p>
      <w:pPr>
        <w:rPr>
          <w:rFonts w:ascii="Times New Roman" w:hAnsi="Times New Roman"/>
          <w:kern w:val="2"/>
        </w:rPr>
      </w:pPr>
    </w:p>
    <w:p>
      <w:pPr>
        <w:pStyle w:val="58"/>
        <w:rPr>
          <w:rFonts w:ascii="Times New Roman" w:hAnsi="Times New Roman"/>
          <w:lang w:val="en-US" w:eastAsia="ja-JP"/>
        </w:rPr>
      </w:pPr>
      <w:r>
        <w:rPr>
          <w:rFonts w:ascii="Times New Roman" w:hAnsi="Times New Roman"/>
          <w:lang w:val="en-US"/>
        </w:rPr>
        <w:t xml:space="preserve">Table </w:t>
      </w:r>
      <w:r>
        <w:rPr>
          <w:rFonts w:ascii="Times New Roman" w:hAnsi="Times New Roman"/>
          <w:lang w:val="en-US" w:eastAsia="zh-CN"/>
        </w:rPr>
        <w:t>6.</w:t>
      </w:r>
      <w:r>
        <w:rPr>
          <w:rFonts w:ascii="Times New Roman" w:hAnsi="Times New Roman"/>
          <w:lang w:val="en-US"/>
        </w:rPr>
        <w:t>1.1</w:t>
      </w:r>
      <w:r>
        <w:rPr>
          <w:rFonts w:ascii="Times New Roman" w:hAnsi="Times New Roman"/>
          <w:lang w:val="en-US" w:eastAsia="zh-CN"/>
        </w:rPr>
        <w:t>-2:</w:t>
      </w:r>
      <w:r>
        <w:rPr>
          <w:rFonts w:ascii="Times New Roman" w:hAnsi="Times New Roman"/>
          <w:lang w:val="en-US"/>
        </w:rPr>
        <w:t xml:space="preserve"> UE antenna radiation pattern model 1 (FR2) </w:t>
      </w:r>
    </w:p>
    <w:tbl>
      <w:tblPr>
        <w:tblStyle w:val="23"/>
        <w:tblpPr w:leftFromText="142" w:rightFromText="142" w:vertAnchor="text" w:tblpXSpec="center" w:tblpY="1"/>
        <w:tblOverlap w:val="never"/>
        <w:tblW w:w="9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6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93" w:type="dxa"/>
            <w:shd w:val="clear" w:color="auto" w:fill="auto"/>
            <w:vAlign w:val="center"/>
          </w:tcPr>
          <w:p>
            <w:pPr>
              <w:pStyle w:val="55"/>
              <w:rPr>
                <w:rFonts w:ascii="Times New Roman" w:hAnsi="Times New Roman"/>
                <w:lang w:val="en-US"/>
              </w:rPr>
            </w:pPr>
            <w:r>
              <w:rPr>
                <w:rFonts w:ascii="Times New Roman" w:hAnsi="Times New Roman"/>
                <w:lang w:val="en-US"/>
              </w:rPr>
              <w:t>Parameter</w:t>
            </w:r>
          </w:p>
        </w:tc>
        <w:tc>
          <w:tcPr>
            <w:tcW w:w="6412" w:type="dxa"/>
            <w:shd w:val="clear" w:color="auto" w:fill="auto"/>
            <w:vAlign w:val="center"/>
          </w:tcPr>
          <w:p>
            <w:pPr>
              <w:pStyle w:val="55"/>
              <w:rPr>
                <w:rFonts w:ascii="Times New Roman" w:hAnsi="Times New Roman"/>
                <w:lang w:val="en-US"/>
              </w:rPr>
            </w:pPr>
            <w:r>
              <w:rPr>
                <w:rFonts w:ascii="Times New Roman" w:hAnsi="Times New Roman"/>
                <w:lang w:val="en-US"/>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93" w:type="dxa"/>
            <w:shd w:val="clear" w:color="auto" w:fill="auto"/>
            <w:vAlign w:val="center"/>
          </w:tcPr>
          <w:p>
            <w:pPr>
              <w:pStyle w:val="57"/>
              <w:rPr>
                <w:rFonts w:ascii="Times New Roman" w:hAnsi="Times New Roman"/>
              </w:rPr>
            </w:pPr>
            <w:r>
              <w:rPr>
                <w:rFonts w:ascii="Times New Roman" w:hAnsi="Times New Roman"/>
              </w:rPr>
              <w:t xml:space="preserve">Antenna element radiation pattern in </w:t>
            </w:r>
            <w:r>
              <w:rPr>
                <w:rFonts w:ascii="Times New Roman" w:hAnsi="Times New Roman"/>
              </w:rPr>
              <w:fldChar w:fldCharType="begin"/>
            </w:r>
            <w:r>
              <w:rPr>
                <w:rFonts w:ascii="Times New Roman" w:hAnsi="Times New Roman"/>
              </w:rPr>
              <w:instrText xml:space="preserve"> QUOTE </w:instrText>
            </w:r>
            <w:r>
              <w:rPr>
                <w:rFonts w:ascii="Times New Roman" w:hAnsi="Times New Roman"/>
              </w:rPr>
              <w:pict>
                <v:shape id="_x0000_i1025" o:spt="75" type="#_x0000_t75" style="height:19.15pt;width:1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removePersonalInformation/&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17F2E&quot;/&gt;&lt;wsp:rsid wsp:val=&quot;00031C1D&quot;/&gt;&lt;wsp:rsid wsp:val=&quot;0003745F&quot;/&gt;&lt;wsp:rsid wsp:val=&quot;0005081E&quot;/&gt;&lt;wsp:rsid wsp:val=&quot;00070789&quot;/&gt;&lt;wsp:rsid wsp:val=&quot;0008129F&quot;/&gt;&lt;wsp:rsid wsp:val=&quot;0009010D&quot;/&gt;&lt;wsp:rsid wsp:val=&quot;00093E7E&quot;/&gt;&lt;wsp:rsid wsp:val=&quot;000A5A45&quot;/&gt;&lt;wsp:rsid wsp:val=&quot;000C64A2&quot;/&gt;&lt;wsp:rsid wsp:val=&quot;000D000C&quot;/&gt;&lt;wsp:rsid wsp:val=&quot;000D3264&quot;/&gt;&lt;wsp:rsid wsp:val=&quot;000D6CFC&quot;/&gt;&lt;wsp:rsid wsp:val=&quot;000E05EE&quot;/&gt;&lt;wsp:rsid wsp:val=&quot;000E2A0A&quot;/&gt;&lt;wsp:rsid wsp:val=&quot;0010225A&quot;/&gt;&lt;wsp:rsid wsp:val=&quot;001054AF&quot;/&gt;&lt;wsp:rsid wsp:val=&quot;00143924&quot;/&gt;&lt;wsp:rsid wsp:val=&quot;00153528&quot;/&gt;&lt;wsp:rsid wsp:val=&quot;001622D9&quot;/&gt;&lt;wsp:rsid wsp:val=&quot;00177B15&quot;/&gt;&lt;wsp:rsid wsp:val=&quot;001A06CC&quot;/&gt;&lt;wsp:rsid wsp:val=&quot;001A08AA&quot;/&gt;&lt;wsp:rsid wsp:val=&quot;001A5629&quot;/&gt;&lt;wsp:rsid wsp:val=&quot;001D00E8&quot;/&gt;&lt;wsp:rsid wsp:val=&quot;001F3489&quot;/&gt;&lt;wsp:rsid wsp:val=&quot;00202270&quot;/&gt;&lt;wsp:rsid wsp:val=&quot;002138EA&quot;/&gt;&lt;wsp:rsid wsp:val=&quot;00214FBD&quot;/&gt;&lt;wsp:rsid wsp:val=&quot;00222897&quot;/&gt;&lt;wsp:rsid wsp:val=&quot;002231A4&quot;/&gt;&lt;wsp:rsid wsp:val=&quot;002305E7&quot;/&gt;&lt;wsp:rsid wsp:val=&quot;00235394&quot;/&gt;&lt;wsp:rsid wsp:val=&quot;0026179F&quot;/&gt;&lt;wsp:rsid wsp:val=&quot;0026210B&quot;/&gt;&lt;wsp:rsid wsp:val=&quot;00274E1A&quot;/&gt;&lt;wsp:rsid wsp:val=&quot;002771EF&quot;/&gt;&lt;wsp:rsid wsp:val=&quot;00282213&quot;/&gt;&lt;wsp:rsid wsp:val=&quot;00287C48&quot;/&gt;&lt;wsp:rsid wsp:val=&quot;002A2270&quot;/&gt;&lt;wsp:rsid wsp:val=&quot;002A3F9A&quot;/&gt;&lt;wsp:rsid wsp:val=&quot;002F1C59&quot;/&gt;&lt;wsp:rsid wsp:val=&quot;002F4093&quot;/&gt;&lt;wsp:rsid wsp:val=&quot;0030755C&quot;/&gt;&lt;wsp:rsid wsp:val=&quot;00311128&quot;/&gt;&lt;wsp:rsid wsp:val=&quot;00367724&quot;/&gt;&lt;wsp:rsid wsp:val=&quot;00395860&quot;/&gt;&lt;wsp:rsid wsp:val=&quot;003A3BD6&quot;/&gt;&lt;wsp:rsid wsp:val=&quot;003C35FA&quot;/&gt;&lt;wsp:rsid wsp:val=&quot;003F1D0E&quot;/&gt;&lt;wsp:rsid wsp:val=&quot;003F60AF&quot;/&gt;&lt;wsp:rsid wsp:val=&quot;00402AFD&quot;/&gt;&lt;wsp:rsid wsp:val=&quot;00425B18&quot;/&gt;&lt;wsp:rsid wsp:val=&quot;004379BB&quot;/&gt;&lt;wsp:rsid wsp:val=&quot;004558E8&quot;/&gt;&lt;wsp:rsid wsp:val=&quot;0046540D&quot;/&gt;&lt;wsp:rsid wsp:val=&quot;00480446&quot;/&gt;&lt;wsp:rsid wsp:val=&quot;00486C66&quot;/&gt;&lt;wsp:rsid wsp:val=&quot;00505BCB&quot;/&gt;&lt;wsp:rsid wsp:val=&quot;00505BFA&quot;/&gt;&lt;wsp:rsid wsp:val=&quot;00517B6A&quot;/&gt;&lt;wsp:rsid wsp:val=&quot;0057550E&quot;/&gt;&lt;wsp:rsid wsp:val=&quot;00577E06&quot;/&gt;&lt;wsp:rsid wsp:val=&quot;005870D6&quot;/&gt;&lt;wsp:rsid wsp:val=&quot;005C3B7F&quot;/&gt;&lt;wsp:rsid wsp:val=&quot;005C620E&quot;/&gt;&lt;wsp:rsid wsp:val=&quot;00667CCB&quot;/&gt;&lt;wsp:rsid wsp:val=&quot;006807B7&quot;/&gt;&lt;wsp:rsid wsp:val=&quot;006817EB&quot;/&gt;&lt;wsp:rsid wsp:val=&quot;0069080E&quot;/&gt;&lt;wsp:rsid wsp:val=&quot;006929A6&quot;/&gt;&lt;wsp:rsid wsp:val=&quot;006B40DB&quot;/&gt;&lt;wsp:rsid wsp:val=&quot;006E7A8A&quot;/&gt;&lt;wsp:rsid wsp:val=&quot;006F098F&quot;/&gt;&lt;wsp:rsid wsp:val=&quot;006F4A07&quot;/&gt;&lt;wsp:rsid wsp:val=&quot;0070646B&quot;/&gt;&lt;wsp:rsid wsp:val=&quot;00730912&quot;/&gt;&lt;wsp:rsid wsp:val=&quot;00731514&quot;/&gt;&lt;wsp:rsid wsp:val=&quot;0075188D&quot;/&gt;&lt;wsp:rsid wsp:val=&quot;007728F9&quot;/&gt;&lt;wsp:rsid wsp:val=&quot;007A7FB9&quot;/&gt;&lt;wsp:rsid wsp:val=&quot;007B6BE3&quot;/&gt;&lt;wsp:rsid wsp:val=&quot;007C30F4&quot;/&gt;&lt;wsp:rsid wsp:val=&quot;007F0E1E&quot;/&gt;&lt;wsp:rsid wsp:val=&quot;007F6E04&quot;/&gt;&lt;wsp:rsid wsp:val=&quot;008179B4&quot;/&gt;&lt;wsp:rsid wsp:val=&quot;00820BCB&quot;/&gt;&lt;wsp:rsid wsp:val=&quot;0082142C&quot;/&gt;&lt;wsp:rsid wsp:val=&quot;0085143F&quot;/&gt;&lt;wsp:rsid wsp:val=&quot;008C60E9&quot;/&gt;&lt;wsp:rsid wsp:val=&quot;008F3A31&quot;/&gt;&lt;wsp:rsid wsp:val=&quot;00903F93&quot;/&gt;&lt;wsp:rsid wsp:val=&quot;009509CF&quot;/&gt;&lt;wsp:rsid wsp:val=&quot;00954BB8&quot;/&gt;&lt;wsp:rsid wsp:val=&quot;00961BBF&quot;/&gt;&lt;wsp:rsid wsp:val=&quot;00967EE0&quot;/&gt;&lt;wsp:rsid wsp:val=&quot;00977472&quot;/&gt;&lt;wsp:rsid wsp:val=&quot;00983910&quot;/&gt;&lt;wsp:rsid wsp:val=&quot;0099516D&quot;/&gt;&lt;wsp:rsid wsp:val=&quot;009A7259&quot;/&gt;&lt;wsp:rsid wsp:val=&quot;009C0727&quot;/&gt;&lt;wsp:rsid wsp:val=&quot;009F3764&quot;/&gt;&lt;wsp:rsid wsp:val=&quot;009F6CA9&quot;/&gt;&lt;wsp:rsid wsp:val=&quot;00A17B31&quot;/&gt;&lt;wsp:rsid wsp:val=&quot;00A2706A&quot;/&gt;&lt;wsp:rsid wsp:val=&quot;00A30D97&quot;/&gt;&lt;wsp:rsid wsp:val=&quot;00A32759&quot;/&gt;&lt;wsp:rsid wsp:val=&quot;00A5242A&quot;/&gt;&lt;wsp:rsid wsp:val=&quot;00A57FE8&quot;/&gt;&lt;wsp:rsid wsp:val=&quot;00A63CF5&quot;/&gt;&lt;wsp:rsid wsp:val=&quot;00A81B15&quot;/&gt;&lt;wsp:rsid wsp:val=&quot;00A85DBC&quot;/&gt;&lt;wsp:rsid wsp:val=&quot;00A96AA7&quot;/&gt;&lt;wsp:rsid wsp:val=&quot;00AD4D03&quot;/&gt;&lt;wsp:rsid wsp:val=&quot;00AF6147&quot;/&gt;&lt;wsp:rsid wsp:val=&quot;00B075CA&quot;/&gt;&lt;wsp:rsid wsp:val=&quot;00B27220&quot;/&gt;&lt;wsp:rsid wsp:val=&quot;00B30501&quot;/&gt;&lt;wsp:rsid wsp:val=&quot;00B5089A&quot;/&gt;&lt;wsp:rsid wsp:val=&quot;00B716CE&quot;/&gt;&lt;wsp:rsid wsp:val=&quot;00B8446C&quot;/&gt;&lt;wsp:rsid wsp:val=&quot;00B9684C&quot;/&gt;&lt;wsp:rsid wsp:val=&quot;00BA05A6&quot;/&gt;&lt;wsp:rsid wsp:val=&quot;00BB7BAE&quot;/&gt;&lt;wsp:rsid wsp:val=&quot;00BD0407&quot;/&gt;&lt;wsp:rsid wsp:val=&quot;00BD0CA3&quot;/&gt;&lt;wsp:rsid wsp:val=&quot;00C01A1E&quot;/&gt;&lt;wsp:rsid wsp:val=&quot;00C31A8A&quot;/&gt;&lt;wsp:rsid wsp:val=&quot;00C64174&quot;/&gt;&lt;wsp:rsid wsp:val=&quot;00C67906&quot;/&gt;&lt;wsp:rsid wsp:val=&quot;00C97314&quot;/&gt;&lt;wsp:rsid wsp:val=&quot;00CC5CCF&quot;/&gt;&lt;wsp:rsid wsp:val=&quot;00CD303B&quot;/&gt;&lt;wsp:rsid wsp:val=&quot;00CD6A7D&quot;/&gt;&lt;wsp:rsid wsp:val=&quot;00D022FF&quot;/&gt;&lt;wsp:rsid wsp:val=&quot;00D36225&quot;/&gt;&lt;wsp:rsid wsp:val=&quot;00D42D52&quot;/&gt;&lt;wsp:rsid wsp:val=&quot;00D520E4&quot;/&gt;&lt;wsp:rsid wsp:val=&quot;00D57DFA&quot;/&gt;&lt;wsp:rsid wsp:val=&quot;00D671DA&quot;/&gt;&lt;wsp:rsid wsp:val=&quot;00D715B1&quot;/&gt;&lt;wsp:rsid wsp:val=&quot;00D7222B&quot;/&gt;&lt;wsp:rsid wsp:val=&quot;00D76472&quot;/&gt;&lt;wsp:rsid wsp:val=&quot;00D825B0&quot;/&gt;&lt;wsp:rsid wsp:val=&quot;00D9433D&quot;/&gt;&lt;wsp:rsid wsp:val=&quot;00DB16CF&quot;/&gt;&lt;wsp:rsid wsp:val=&quot;00DD0C2C&quot;/&gt;&lt;wsp:rsid wsp:val=&quot;00DE332E&quot;/&gt;&lt;wsp:rsid wsp:val=&quot;00E23531&quot;/&gt;&lt;wsp:rsid wsp:val=&quot;00E54AC8&quot;/&gt;&lt;wsp:rsid wsp:val=&quot;00E55020&quot;/&gt;&lt;wsp:rsid wsp:val=&quot;00E57B74&quot;/&gt;&lt;wsp:rsid wsp:val=&quot;00E64697&quot;/&gt;&lt;wsp:rsid wsp:val=&quot;00E8629F&quot;/&gt;&lt;wsp:rsid wsp:val=&quot;00EA3C24&quot;/&gt;&lt;wsp:rsid wsp:val=&quot;00EA4FF2&quot;/&gt;&lt;wsp:rsid wsp:val=&quot;00EC0ADF&quot;/&gt;&lt;wsp:rsid wsp:val=&quot;00F072D8&quot;/&gt;&lt;wsp:rsid wsp:val=&quot;00F24A04&quot;/&gt;&lt;wsp:rsid wsp:val=&quot;00F3097C&quot;/&gt;&lt;wsp:rsid wsp:val=&quot;00F81BB4&quot;/&gt;&lt;wsp:rsid wsp:val=&quot;00FC051F&quot;/&gt;&lt;wsp:rsid wsp:val=&quot;00FE03C8&quot;/&gt;&lt;wsp:rsid wsp:val=&quot;00FE7D99&quot;/&gt;&lt;/wsp:rsids&gt;&lt;/w:docPr&gt;&lt;w:body&gt;&lt;wx:sect&gt;&lt;w:p wsp:rsidR=&quot;00000000&quot; wsp:rsidRDefault=&quot;003C35FA&quot; wsp:rsidP=&quot;003C35FA&quot;&gt;&lt;m:oMathPara&gt;&lt;m:oMath&gt;&lt;m:r&gt;&lt;aml:annotation aml:id=&quot;0&quot; w:type=&quot;Word.Insertion&quot; aml:author=&quot;Intel User&quot; aml:createdate=&quot;2018-11-14T08:36:00Z&quot;&gt;&lt;aml:content&gt;&lt;w:rPr&gt;&lt;w:rFonts w:ascii=&quot;Cambria Math&quot; w:h-ansi=&quot;Cambria Math&quot;/&gt;&lt;wx:font wx:val=&quot;Cambria Math&quot;/&gt;&lt;w:i/&gt;&lt;/w:rPr&gt;&lt;m:t&gt;θ&lt;/m:t&gt;&lt;/aml:content&gt;&lt;/aml:annotation&gt;&lt;/m:r&gt;&lt;m:r&gt;&lt;aml:annotation aml:id=&quot;1&quot; w:type=&quot;Word.Insertion&quot; aml:author=&quot;Intel User&quot; aml:createdate=&quot;2018-11-14T08tttttt:3 6: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New Roman" w:hAnsi="Times New Roman"/>
              </w:rPr>
              <w:instrText xml:space="preserve"> </w:instrText>
            </w:r>
            <w:r>
              <w:rPr>
                <w:rFonts w:ascii="Times New Roman" w:hAnsi="Times New Roman"/>
              </w:rPr>
              <w:fldChar w:fldCharType="separate"/>
            </w:r>
            <w:r>
              <w:rPr>
                <w:rFonts w:ascii="Times New Roman" w:hAnsi="Times New Roman"/>
              </w:rPr>
              <w:pict>
                <v:shape id="_x0000_i1026" o:spt="75" type="#_x0000_t75" style="height:19.15pt;width:1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removePersonalInformation/&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17F2E&quot;/&gt;&lt;wsp:rsid wsp:val=&quot;00031C1D&quot;/&gt;&lt;wsp:rsid wsp:val=&quot;0003745F&quot;/&gt;&lt;wsp:rsid wsp:val=&quot;0005081E&quot;/&gt;&lt;wsp:rsid wsp:val=&quot;00070789&quot;/&gt;&lt;wsp:rsid wsp:val=&quot;0008129F&quot;/&gt;&lt;wsp:rsid wsp:val=&quot;0009010D&quot;/&gt;&lt;wsp:rsid wsp:val=&quot;00093E7E&quot;/&gt;&lt;wsp:rsid wsp:val=&quot;000A5A45&quot;/&gt;&lt;wsp:rsid wsp:val=&quot;000C64A2&quot;/&gt;&lt;wsp:rsid wsp:val=&quot;000D000C&quot;/&gt;&lt;wsp:rsid wsp:val=&quot;000D3264&quot;/&gt;&lt;wsp:rsid wsp:val=&quot;000D6CFC&quot;/&gt;&lt;wsp:rsid wsp:val=&quot;000E05EE&quot;/&gt;&lt;wsp:rsid wsp:val=&quot;000E2A0A&quot;/&gt;&lt;wsp:rsid wsp:val=&quot;0010225A&quot;/&gt;&lt;wsp:rsid wsp:val=&quot;001054AF&quot;/&gt;&lt;wsp:rsid wsp:val=&quot;00143924&quot;/&gt;&lt;wsp:rsid wsp:val=&quot;00153528&quot;/&gt;&lt;wsp:rsid wsp:val=&quot;001622D9&quot;/&gt;&lt;wsp:rsid wsp:val=&quot;00177B15&quot;/&gt;&lt;wsp:rsid wsp:val=&quot;001A06CC&quot;/&gt;&lt;wsp:rsid wsp:val=&quot;001A08AA&quot;/&gt;&lt;wsp:rsid wsp:val=&quot;001A5629&quot;/&gt;&lt;wsp:rsid wsp:val=&quot;001D00E8&quot;/&gt;&lt;wsp:rsid wsp:val=&quot;001F3489&quot;/&gt;&lt;wsp:rsid wsp:val=&quot;00202270&quot;/&gt;&lt;wsp:rsid wsp:val=&quot;002138EA&quot;/&gt;&lt;wsp:rsid wsp:val=&quot;00214FBD&quot;/&gt;&lt;wsp:rsid wsp:val=&quot;00222897&quot;/&gt;&lt;wsp:rsid wsp:val=&quot;002231A4&quot;/&gt;&lt;wsp:rsid wsp:val=&quot;002305E7&quot;/&gt;&lt;wsp:rsid wsp:val=&quot;00235394&quot;/&gt;&lt;wsp:rsid wsp:val=&quot;0026179F&quot;/&gt;&lt;wsp:rsid wsp:val=&quot;0026210B&quot;/&gt;&lt;wsp:rsid wsp:val=&quot;00274E1A&quot;/&gt;&lt;wsp:rsid wsp:val=&quot;002771EF&quot;/&gt;&lt;wsp:rsid wsp:val=&quot;00282213&quot;/&gt;&lt;wsp:rsid wsp:val=&quot;00287C48&quot;/&gt;&lt;wsp:rsid wsp:val=&quot;002A2270&quot;/&gt;&lt;wsp:rsid wsp:val=&quot;002A3F9A&quot;/&gt;&lt;wsp:rsid wsp:val=&quot;002F1C59&quot;/&gt;&lt;wsp:rsid wsp:val=&quot;002F4093&quot;/&gt;&lt;wsp:rsid wsp:val=&quot;0030755C&quot;/&gt;&lt;wsp:rsid wsp:val=&quot;00311128&quot;/&gt;&lt;wsp:rsid wsp:val=&quot;00367724&quot;/&gt;&lt;wsp:rsid wsp:val=&quot;00395860&quot;/&gt;&lt;wsp:rsid wsp:val=&quot;003A3BD6&quot;/&gt;&lt;wsp:rsid wsp:val=&quot;003C35FA&quot;/&gt;&lt;wsp:rsid wsp:val=&quot;003F1D0E&quot;/&gt;&lt;wsp:rsid wsp:val=&quot;003F60AF&quot;/&gt;&lt;wsp:rsid wsp:val=&quot;00402AFD&quot;/&gt;&lt;wsp:rsid wsp:val=&quot;00425B18&quot;/&gt;&lt;wsp:rsid wsp:val=&quot;004379BB&quot;/&gt;&lt;wsp:rsid wsp:val=&quot;004558E8&quot;/&gt;&lt;wsp:rsid wsp:val=&quot;0046540D&quot;/&gt;&lt;wsp:rsid wsp:val=&quot;00480446&quot;/&gt;&lt;wsp:rsid wsp:val=&quot;00486C66&quot;/&gt;&lt;wsp:rsid wsp:val=&quot;00505BCB&quot;/&gt;&lt;wsp:rsid wsp:val=&quot;00505BFA&quot;/&gt;&lt;wsp:rsid wsp:val=&quot;00517B6A&quot;/&gt;&lt;wsp:rsid wsp:val=&quot;0057550E&quot;/&gt;&lt;wsp:rsid wsp:val=&quot;00577E06&quot;/&gt;&lt;wsp:rsid wsp:val=&quot;005870D6&quot;/&gt;&lt;wsp:rsid wsp:val=&quot;005C3B7F&quot;/&gt;&lt;wsp:rsid wsp:val=&quot;005C620E&quot;/&gt;&lt;wsp:rsid wsp:val=&quot;00667CCB&quot;/&gt;&lt;wsp:rsid wsp:val=&quot;006807B7&quot;/&gt;&lt;wsp:rsid wsp:val=&quot;006817EB&quot;/&gt;&lt;wsp:rsid wsp:val=&quot;0069080E&quot;/&gt;&lt;wsp:rsid wsp:val=&quot;006929A6&quot;/&gt;&lt;wsp:rsid wsp:val=&quot;006B40DB&quot;/&gt;&lt;wsp:rsid wsp:val=&quot;006E7A8A&quot;/&gt;&lt;wsp:rsid wsp:val=&quot;006F098F&quot;/&gt;&lt;wsp:rsid wsp:val=&quot;006F4A07&quot;/&gt;&lt;wsp:rsid wsp:val=&quot;0070646B&quot;/&gt;&lt;wsp:rsid wsp:val=&quot;00730912&quot;/&gt;&lt;wsp:rsid wsp:val=&quot;00731514&quot;/&gt;&lt;wsp:rsid wsp:val=&quot;0075188D&quot;/&gt;&lt;wsp:rsid wsp:val=&quot;007728F9&quot;/&gt;&lt;wsp:rsid wsp:val=&quot;007A7FB9&quot;/&gt;&lt;wsp:rsid wsp:val=&quot;007B6BE3&quot;/&gt;&lt;wsp:rsid wsp:val=&quot;007C30F4&quot;/&gt;&lt;wsp:rsid wsp:val=&quot;007F0E1E&quot;/&gt;&lt;wsp:rsid wsp:val=&quot;007F6E04&quot;/&gt;&lt;wsp:rsid wsp:val=&quot;008179B4&quot;/&gt;&lt;wsp:rsid wsp:val=&quot;00820BCB&quot;/&gt;&lt;wsp:rsid wsp:val=&quot;0082142C&quot;/&gt;&lt;wsp:rsid wsp:val=&quot;0085143F&quot;/&gt;&lt;wsp:rsid wsp:val=&quot;008C60E9&quot;/&gt;&lt;wsp:rsid wsp:val=&quot;008F3A31&quot;/&gt;&lt;wsp:rsid wsp:val=&quot;00903F93&quot;/&gt;&lt;wsp:rsid wsp:val=&quot;009509CF&quot;/&gt;&lt;wsp:rsid wsp:val=&quot;00954BB8&quot;/&gt;&lt;wsp:rsid wsp:val=&quot;00961BBF&quot;/&gt;&lt;wsp:rsid wsp:val=&quot;00967EE0&quot;/&gt;&lt;wsp:rsid wsp:val=&quot;00977472&quot;/&gt;&lt;wsp:rsid wsp:val=&quot;00983910&quot;/&gt;&lt;wsp:rsid wsp:val=&quot;0099516D&quot;/&gt;&lt;wsp:rsid wsp:val=&quot;009A7259&quot;/&gt;&lt;wsp:rsid wsp:val=&quot;009C0727&quot;/&gt;&lt;wsp:rsid wsp:val=&quot;009F3764&quot;/&gt;&lt;wsp:rsid wsp:val=&quot;009F6CA9&quot;/&gt;&lt;wsp:rsid wsp:val=&quot;00A17B31&quot;/&gt;&lt;wsp:rsid wsp:val=&quot;00A2706A&quot;/&gt;&lt;wsp:rsid wsp:val=&quot;00A30D97&quot;/&gt;&lt;wsp:rsid wsp:val=&quot;00A32759&quot;/&gt;&lt;wsp:rsid wsp:val=&quot;00A5242A&quot;/&gt;&lt;wsp:rsid wsp:val=&quot;00A57FE8&quot;/&gt;&lt;wsp:rsid wsp:val=&quot;00A63CF5&quot;/&gt;&lt;wsp:rsid wsp:val=&quot;00A81B15&quot;/&gt;&lt;wsp:rsid wsp:val=&quot;00A85DBC&quot;/&gt;&lt;wsp:rsid wsp:val=&quot;00A96AA7&quot;/&gt;&lt;wsp:rsid wsp:val=&quot;00AD4D03&quot;/&gt;&lt;wsp:rsid wsp:val=&quot;00AF6147&quot;/&gt;&lt;wsp:rsid wsp:val=&quot;00B075CA&quot;/&gt;&lt;wsp:rsid wsp:val=&quot;00B27220&quot;/&gt;&lt;wsp:rsid wsp:val=&quot;00B30501&quot;/&gt;&lt;wsp:rsid wsp:val=&quot;00B5089A&quot;/&gt;&lt;wsp:rsid wsp:val=&quot;00B716CE&quot;/&gt;&lt;wsp:rsid wsp:val=&quot;00B8446C&quot;/&gt;&lt;wsp:rsid wsp:val=&quot;00B9684C&quot;/&gt;&lt;wsp:rsid wsp:val=&quot;00BA05A6&quot;/&gt;&lt;wsp:rsid wsp:val=&quot;00BB7BAE&quot;/&gt;&lt;wsp:rsid wsp:val=&quot;00BD0407&quot;/&gt;&lt;wsp:rsid wsp:val=&quot;00BD0CA3&quot;/&gt;&lt;wsp:rsid wsp:val=&quot;00C01A1E&quot;/&gt;&lt;wsp:rsid wsp:val=&quot;00C31A8A&quot;/&gt;&lt;wsp:rsid wsp:val=&quot;00C64174&quot;/&gt;&lt;wsp:rsid wsp:val=&quot;00C67906&quot;/&gt;&lt;wsp:rsid wsp:val=&quot;00C97314&quot;/&gt;&lt;wsp:rsid wsp:val=&quot;00CC5CCF&quot;/&gt;&lt;wsp:rsid wsp:val=&quot;00CD303B&quot;/&gt;&lt;wsp:rsid wsp:val=&quot;00CD6A7D&quot;/&gt;&lt;wsp:rsid wsp:val=&quot;00D022FF&quot;/&gt;&lt;wsp:rsid wsp:val=&quot;00D36225&quot;/&gt;&lt;wsp:rsid wsp:val=&quot;00D42D52&quot;/&gt;&lt;wsp:rsid wsp:val=&quot;00D520E4&quot;/&gt;&lt;wsp:rsid wsp:val=&quot;00D57DFA&quot;/&gt;&lt;wsp:rsid wsp:val=&quot;00D671DA&quot;/&gt;&lt;wsp:rsid wsp:val=&quot;00D715B1&quot;/&gt;&lt;wsp:rsid wsp:val=&quot;00D7222B&quot;/&gt;&lt;wsp:rsid wsp:val=&quot;00D76472&quot;/&gt;&lt;wsp:rsid wsp:val=&quot;00D825B0&quot;/&gt;&lt;wsp:rsid wsp:val=&quot;00D9433D&quot;/&gt;&lt;wsp:rsid wsp:val=&quot;00DB16CF&quot;/&gt;&lt;wsp:rsid wsp:val=&quot;00DD0C2C&quot;/&gt;&lt;wsp:rsid wsp:val=&quot;00DE332E&quot;/&gt;&lt;wsp:rsid wsp:val=&quot;00E23531&quot;/&gt;&lt;wsp:rsid wsp:val=&quot;00E54AC8&quot;/&gt;&lt;wsp:rsid wsp:val=&quot;00E55020&quot;/&gt;&lt;wsp:rsid wsp:val=&quot;00E57B74&quot;/&gt;&lt;wsp:rsid wsp:val=&quot;00E64697&quot;/&gt;&lt;wsp:rsid wsp:val=&quot;00E8629F&quot;/&gt;&lt;wsp:rsid wsp:val=&quot;00EA3C24&quot;/&gt;&lt;wsp:rsid wsp:val=&quot;00EA4FF2&quot;/&gt;&lt;wsp:rsid wsp:val=&quot;00EC0ADF&quot;/&gt;&lt;wsp:rsid wsp:val=&quot;00F072D8&quot;/&gt;&lt;wsp:rsid wsp:val=&quot;00F24A04&quot;/&gt;&lt;wsp:rsid wsp:val=&quot;00F3097C&quot;/&gt;&lt;wsp:rsid wsp:val=&quot;00F81BB4&quot;/&gt;&lt;wsp:rsid wsp:val=&quot;00FC051F&quot;/&gt;&lt;wsp:rsid wsp:val=&quot;00FE03C8&quot;/&gt;&lt;wsp:rsid wsp:val=&quot;00FE7D99&quot;/&gt;&lt;/wsp:rsids&gt;&lt;/w:docPr&gt;&lt;w:body&gt;&lt;wx:sect&gt;&lt;w:p wsp:rsidR=&quot;00000000&quot; wsp:rsidRDefault=&quot;003C35FA&quot; wsp:rsidP=&quot;003C35FA&quot;&gt;&lt;m:oMathPara&gt;&lt;m:oMath&gt;&lt;m:r&gt;&lt;aml:annotation aml:id=&quot;0&quot; w:type=&quot;Word.Insertion&quot; aml:author=&quot;Intel User&quot; aml:createdate=&quot;2018-11-14T08:36:00Z&quot;&gt;&lt;aml:content&gt;&lt;w:rPr&gt;&lt;w:rFonts w:ascii=&quot;Cambria Math&quot; w:h-ansi=&quot;Cambria Math&quot;/&gt;&lt;wx:font wx:val=&quot;Cambria Math&quot;/&gt;&lt;w:i/&gt;&lt;/w:rPr&gt;&lt;m:t&gt;θ&lt;/m:t&gt;&lt;/aml:content&gt;&lt;/aml:annotation&gt;&lt;/m:r&gt;&lt;m:r&gt;&lt;aml:annotation aml:id=&quot;1&quot; w:type=&quot;Word.Insertion&quot; aml:author=&quot;Intel User&quot; aml:createdate=&quot;2018-11-14T08tttttt:3 6: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New Roman" w:hAnsi="Times New Roman"/>
              </w:rPr>
              <w:fldChar w:fldCharType="end"/>
            </w:r>
            <w:r>
              <w:rPr>
                <w:rFonts w:ascii="Times New Roman" w:hAnsi="Times New Roman"/>
              </w:rPr>
              <w:t xml:space="preserve"> dim (dB)</w:t>
            </w:r>
          </w:p>
        </w:tc>
        <w:tc>
          <w:tcPr>
            <w:tcW w:w="6412" w:type="dxa"/>
            <w:vAlign w:val="center"/>
          </w:tcPr>
          <w:p>
            <w:pPr>
              <w:pStyle w:val="57"/>
              <w:rPr>
                <w:rFonts w:ascii="Times New Roman" w:hAnsi="Times New Roman"/>
              </w:rPr>
            </w:pPr>
            <w:r>
              <w:rPr>
                <w:rFonts w:ascii="Times New Roman" w:hAnsi="Times New Roman"/>
              </w:rPr>
              <w:object>
                <v:shape id="_x0000_i1027" o:spt="75" type="#_x0000_t75" style="height:42.85pt;width:279.2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5" r:id="rId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93" w:type="dxa"/>
            <w:shd w:val="clear" w:color="auto" w:fill="auto"/>
            <w:vAlign w:val="center"/>
          </w:tcPr>
          <w:p>
            <w:pPr>
              <w:pStyle w:val="57"/>
              <w:rPr>
                <w:rFonts w:ascii="Times New Roman" w:hAnsi="Times New Roman"/>
              </w:rPr>
            </w:pPr>
            <w:r>
              <w:rPr>
                <w:rFonts w:ascii="Times New Roman" w:hAnsi="Times New Roman"/>
              </w:rPr>
              <w:t xml:space="preserve">Antenna element radiation pattern in </w:t>
            </w:r>
            <w:r>
              <w:rPr>
                <w:rFonts w:ascii="Times New Roman" w:hAnsi="Times New Roman"/>
              </w:rPr>
              <w:fldChar w:fldCharType="begin"/>
            </w:r>
            <w:r>
              <w:rPr>
                <w:rFonts w:ascii="Times New Roman" w:hAnsi="Times New Roman"/>
              </w:rPr>
              <w:instrText xml:space="preserve"> QUOTE </w:instrText>
            </w:r>
            <w:r>
              <w:rPr>
                <w:rFonts w:ascii="Times New Roman" w:hAnsi="Times New Roman"/>
              </w:rPr>
              <w:pict>
                <v:shape id="_x0000_i1028" o:spt="75" type="#_x0000_t75" style="height:19.15pt;width:12.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removePersonalInformation/&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17F2E&quot;/&gt;&lt;wsp:rsid wsp:val=&quot;00031C1D&quot;/&gt;&lt;wsp:rsid wsp:val=&quot;0003745F&quot;/&gt;&lt;wsp:rsid wsp:val=&quot;0005081E&quot;/&gt;&lt;wsp:rsid wsp:val=&quot;00070789&quot;/&gt;&lt;wsp:rsid wsp:val=&quot;0008129F&quot;/&gt;&lt;wsp:rsid wsp:val=&quot;0009010D&quot;/&gt;&lt;wsp:rsid wsp:val=&quot;00093E7E&quot;/&gt;&lt;wsp:rsid wsp:val=&quot;000A5A45&quot;/&gt;&lt;wsp:rsid wsp:val=&quot;000C64A2&quot;/&gt;&lt;wsp:rsid wsp:val=&quot;000D000C&quot;/&gt;&lt;wsp:rsid wsp:val=&quot;000D3264&quot;/&gt;&lt;wsp:rsid wsp:val=&quot;000D6CFC&quot;/&gt;&lt;wsp:rsid wsp:val=&quot;000E05EE&quot;/&gt;&lt;wsp:rsid wsp:val=&quot;000E2A0A&quot;/&gt;&lt;wsp:rsid wsp:val=&quot;0010225A&quot;/&gt;&lt;wsp:rsid wsp:val=&quot;001054AF&quot;/&gt;&lt;wsp:rsid wsp:val=&quot;00143924&quot;/&gt;&lt;wsp:rsid wsp:val=&quot;00153528&quot;/&gt;&lt;wsp:rsid wsp:val=&quot;001622D9&quot;/&gt;&lt;wsp:rsid wsp:val=&quot;00177B15&quot;/&gt;&lt;wsp:rsid wsp:val=&quot;001A06CC&quot;/&gt;&lt;wsp:rsid wsp:val=&quot;001A08AA&quot;/&gt;&lt;wsp:rsid wsp:val=&quot;001A5629&quot;/&gt;&lt;wsp:rsid wsp:val=&quot;001D00E8&quot;/&gt;&lt;wsp:rsid wsp:val=&quot;001F3489&quot;/&gt;&lt;wsp:rsid wsp:val=&quot;00202270&quot;/&gt;&lt;wsp:rsid wsp:val=&quot;002138EA&quot;/&gt;&lt;wsp:rsid wsp:val=&quot;00214845&quot;/&gt;&lt;wsp:rsid wsp:val=&quot;00214FBD&quot;/&gt;&lt;wsp:rsid wsp:val=&quot;00222897&quot;/&gt;&lt;wsp:rsid wsp:val=&quot;002231A4&quot;/&gt;&lt;wsp:rsid wsp:val=&quot;002305E7&quot;/&gt;&lt;wsp:rsid wsp:val=&quot;00235394&quot;/&gt;&lt;wsp:rsid wsp:val=&quot;0026179F&quot;/&gt;&lt;wsp:rsid wsp:val=&quot;0026210B&quot;/&gt;&lt;wsp:rsid wsp:val=&quot;00274E1A&quot;/&gt;&lt;wsp:rsid wsp:val=&quot;002771EF&quot;/&gt;&lt;wsp:rsid wsp:val=&quot;00282213&quot;/&gt;&lt;wsp:rsid wsp:val=&quot;00287C48&quot;/&gt;&lt;wsp:rsid wsp:val=&quot;002A2270&quot;/&gt;&lt;wsp:rsid wsp:val=&quot;002A3F9A&quot;/&gt;&lt;wsp:rsid wsp:val=&quot;002F1C59&quot;/&gt;&lt;wsp:rsid wsp:val=&quot;002F4093&quot;/&gt;&lt;wsp:rsid wsp:val=&quot;0030755C&quot;/&gt;&lt;wsp:rsid wsp:val=&quot;00311128&quot;/&gt;&lt;wsp:rsid wsp:val=&quot;00367724&quot;/&gt;&lt;wsp:rsid wsp:val=&quot;00395860&quot;/&gt;&lt;wsp:rsid wsp:val=&quot;003A3BD6&quot;/&gt;&lt;wsp:rsid wsp:val=&quot;003F1D0E&quot;/&gt;&lt;wsp:rsid wsp:val=&quot;003F60AF&quot;/&gt;&lt;wsp:rsid wsp:val=&quot;00402AFD&quot;/&gt;&lt;wsp:rsid wsp:val=&quot;00425B18&quot;/&gt;&lt;wsp:rsid wsp:val=&quot;004379BB&quot;/&gt;&lt;wsp:rsid wsp:val=&quot;004558E8&quot;/&gt;&lt;wsp:rsid wsp:val=&quot;0046540D&quot;/&gt;&lt;wsp:rsid wsp:val=&quot;00480446&quot;/&gt;&lt;wsp:rsid wsp:val=&quot;00486C66&quot;/&gt;&lt;wsp:rsid wsp:val=&quot;00505BCB&quot;/&gt;&lt;wsp:rsid wsp:val=&quot;00505BFA&quot;/&gt;&lt;wsp:rsid wsp:val=&quot;00517B6A&quot;/&gt;&lt;wsp:rsid wsp:val=&quot;0057550E&quot;/&gt;&lt;wsp:rsid wsp:val=&quot;00577E06&quot;/&gt;&lt;wsp:rsid wsp:val=&quot;005870D6&quot;/&gt;&lt;wsp:rsid wsp:val=&quot;005C3B7F&quot;/&gt;&lt;wsp:rsid wsp:val=&quot;005C620E&quot;/&gt;&lt;wsp:rsid wsp:val=&quot;00667CCB&quot;/&gt;&lt;wsp:rsid wsp:val=&quot;006807B7&quot;/&gt;&lt;wsp:rsid wsp:val=&quot;006817EB&quot;/&gt;&lt;wsp:rsid wsp:val=&quot;0069080E&quot;/&gt;&lt;wsp:rsid wsp:val=&quot;006929A6&quot;/&gt;&lt;wsp:rsid wsp:val=&quot;006B40DB&quot;/&gt;&lt;wsp:rsid wsp:val=&quot;006E7A8A&quot;/&gt;&lt;wsp:rsid wsp:val=&quot;006F098F&quot;/&gt;&lt;wsp:rsid wsp:val=&quot;006F4A07&quot;/&gt;&lt;wsp:rsid wsp:val=&quot;0070646B&quot;/&gt;&lt;wsp:rsid wsp:val=&quot;00730912&quot;/&gt;&lt;wsp:rsid wsp:val=&quot;00731514&quot;/&gt;&lt;wsp:rsid wsp:val=&quot;0075188D&quot;/&gt;&lt;wsp:rsid wsp:val=&quot;007728F9&quot;/&gt;&lt;wsp:rsid wsp:val=&quot;007A7FB9&quot;/&gt;&lt;wsp:rsid wsp:val=&quot;007B6BE3&quot;/&gt;&lt;wsp:rsid wsp:val=&quot;007C30F4&quot;/&gt;&lt;wsp:rsid wsp:val=&quot;007F0E1E&quot;/&gt;&lt;wsp:rsid wsp:val=&quot;007F6E04&quot;/&gt;&lt;wsp:rsid wsp:val=&quot;008179B4&quot;/&gt;&lt;wsp:rsid wsp:val=&quot;00820BCB&quot;/&gt;&lt;wsp:rsid wsp:val=&quot;0082142C&quot;/&gt;&lt;wsp:rsid wsp:val=&quot;0085143F&quot;/&gt;&lt;wsp:rsid wsp:val=&quot;008C60E9&quot;/&gt;&lt;wsp:rsid wsp:val=&quot;008F3A31&quot;/&gt;&lt;wsp:rsid wsp:val=&quot;00903F93&quot;/&gt;&lt;wsp:rsid wsp:val=&quot;009509CF&quot;/&gt;&lt;wsp:rsid wsp:val=&quot;00954BB8&quot;/&gt;&lt;wsp:rsid wsp:val=&quot;00961BBF&quot;/&gt;&lt;wsp:rsid wsp:val=&quot;00967EE0&quot;/&gt;&lt;wsp:rsid wsp:val=&quot;00977472&quot;/&gt;&lt;wsp:rsid wsp:val=&quot;00983910&quot;/&gt;&lt;wsp:rsid wsp:val=&quot;0099516D&quot;/&gt;&lt;wsp:rsid wsp:val=&quot;009A7259&quot;/&gt;&lt;wsp:rsid wsp:val=&quot;009C0727&quot;/&gt;&lt;wsp:rsid wsp:val=&quot;009F3764&quot;/&gt;&lt;wsp:rsid wsp:val=&quot;009F6CA9&quot;/&gt;&lt;wsp:rsid wsp:val=&quot;00A17B31&quot;/&gt;&lt;wsp:rsid wsp:val=&quot;00A2706A&quot;/&gt;&lt;wsp:rsid wsp:val=&quot;00A30D97&quot;/&gt;&lt;wsp:rsid wsp:val=&quot;00A32759&quot;/&gt;&lt;wsp:rsid wsp:val=&quot;00A5242A&quot;/&gt;&lt;wsp:rsid wsp:val=&quot;00A57FE8&quot;/&gt;&lt;wsp:rsid wsp:val=&quot;00A63CF5&quot;/&gt;&lt;wsp:rsid wsp:val=&quot;00A81B15&quot;/&gt;&lt;wsp:rsid wsp:val=&quot;00A85DBC&quot;/&gt;&lt;wsp:rsid wsp:val=&quot;00A96AA7&quot;/&gt;&lt;wsp:rsid wsp:val=&quot;00AD4D03&quot;/&gt;&lt;wsp:rsid wsp:val=&quot;00AF6147&quot;/&gt;&lt;wsp:rsid wsp:val=&quot;00B075CA&quot;/&gt;&lt;wsp:rsid wsp:val=&quot;00B27220&quot;/&gt;&lt;wsp:rsid wsp:val=&quot;00B30501&quot;/&gt;&lt;wsp:rsid wsp:val=&quot;00B5089A&quot;/&gt;&lt;wsp:rsid wsp:val=&quot;00B716CE&quot;/&gt;&lt;wsp:rsid wsp:val=&quot;00B8446C&quot;/&gt;&lt;wsp:rsid wsp:val=&quot;00B9684C&quot;/&gt;&lt;wsp:rsid wsp:val=&quot;00BA05A6&quot;/&gt;&lt;wsp:rsid wsp:val=&quot;00BB7BAE&quot;/&gt;&lt;wsp:rsid wsp:val=&quot;00BD0407&quot;/&gt;&lt;wsp:rsid wsp:val=&quot;00BD0CA3&quot;/&gt;&lt;wsp:rsid wsp:val=&quot;00C01A1E&quot;/&gt;&lt;wsp:rsid wsp:val=&quot;00C31A8A&quot;/&gt;&lt;wsp:rsid wsp:val=&quot;00C64174&quot;/&gt;&lt;wsp:rsid wsp:val=&quot;00C67906&quot;/&gt;&lt;wsp:rsid wsp:val=&quot;00C97314&quot;/&gt;&lt;wsp:rsid wsp:val=&quot;00CC5CCF&quot;/&gt;&lt;wsp:rsid wsp:val=&quot;00CD303B&quot;/&gt;&lt;wsp:rsid wsp:val=&quot;00CD6A7D&quot;/&gt;&lt;wsp:rsid wsp:val=&quot;00D022FF&quot;/&gt;&lt;wsp:rsid wsp:val=&quot;00D36225&quot;/&gt;&lt;wsp:rsid wsp:val=&quot;00D42D52&quot;/&gt;&lt;wsp:rsid wsp:val=&quot;00D520E4&quot;/&gt;&lt;wsp:rsid wsp:val=&quot;00D57DFA&quot;/&gt;&lt;wsp:rsid wsp:val=&quot;00D671DA&quot;/&gt;&lt;wsp:rsid wsp:val=&quot;00D715B1&quot;/&gt;&lt;wsp:rsid wsp:val=&quot;00D7222B&quot;/&gt;&lt;wsp:rsid wsp:val=&quot;00D76472&quot;/&gt;&lt;wsp:rsid wsp:val=&quot;00D825B0&quot;/&gt;&lt;wsp:rsid wsp:val=&quot;00D9433D&quot;/&gt;&lt;wsp:rsid wsp:val=&quot;00DB16CF&quot;/&gt;&lt;wsp:rsid wsp:val=&quot;00DD0C2C&quot;/&gt;&lt;wsp:rsid wsp:val=&quot;00DE332E&quot;/&gt;&lt;wsp:rsid wsp:val=&quot;00E23531&quot;/&gt;&lt;wsp:rsid wsp:val=&quot;00E54AC8&quot;/&gt;&lt;wsp:rsid wsp:val=&quot;00E55020&quot;/&gt;&lt;wsp:rsid wsp:val=&quot;00E57B74&quot;/&gt;&lt;wsp:rsid wsp:val=&quot;00E64697&quot;/&gt;&lt;wsp:rsid wsp:val=&quot;00E8629F&quot;/&gt;&lt;wsp:rsid wsp:val=&quot;00EA3C24&quot;/&gt;&lt;wsp:rsid wsp:val=&quot;00EA4FF2&quot;/&gt;&lt;wsp:rsid wsp:val=&quot;00EC0ADF&quot;/&gt;&lt;wsp:rsid wsp:val=&quot;00F072D8&quot;/&gt;&lt;wsp:rsid wsp:val=&quot;00F24A04&quot;/&gt;&lt;wsp:rsid wsp:val=&quot;00F3097C&quot;/&gt;&lt;wsp:rsid wsp:val=&quot;00F81BB4&quot;/&gt;&lt;wsp:rsid wsp:val=&quot;00FC051F&quot;/&gt;&lt;wsp:rsid wsp:val=&quot;00FE03C8&quot;/&gt;&lt;wsp:rsid wsp:val=&quot;00FE7D99&quot;/&gt;&lt;/wsp:rsids&gt;&lt;/w:docPr&gt;&lt;w:body&gt;&lt;wx:sect&gt;&lt;w:p wsp:rsidR=&quot;00000000&quot; wsp:rsidRDefault=&quot;00214845&quot; wsp:rsidP=&quot;00214845&quot;&gt;&lt;m:oMathPara&gt;&lt;m:oMath&gt;&lt;m:r&gt;&lt;aml:annotation aml:id=&quot;0&quot; w:type=&quot;Word.Insertion&quot; aml:author=&quot;Intel User&quot; aml:createdate=&quot;2018-11-14T08:36:00Z&quot;&gt;&lt;aml:content&gt;&lt;w:rPr&gt;&lt;w:rFonts w:ascii=&quot;Cambria Math&quot; w:h-ansi=&quot;Cambria Math&quot;/&gt;&lt;wx:font wx:val=&quot;Cambria Math&quot;/&gt;&lt;w:i/&gt;&lt;/w:rPr&gt;&lt;m:t&gt;φ&lt;/m:t&gt;&lt;/aml:content&gt;&lt;/aml:annotation&gt;&lt;/m:r&gt;&lt;m:r&gt;&lt;aml:annotation aml:id=&quot;1&quot; w:type=&quot;Word.Insertion&quot; aml:author=&quot;Intel User&quot; aml:createdate=&quot;2018-11-14T08tttttt:3 6: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Times New Roman" w:hAnsi="Times New Roman"/>
              </w:rPr>
              <w:instrText xml:space="preserve"> </w:instrText>
            </w:r>
            <w:r>
              <w:rPr>
                <w:rFonts w:ascii="Times New Roman" w:hAnsi="Times New Roman"/>
              </w:rPr>
              <w:fldChar w:fldCharType="separate"/>
            </w:r>
            <w:r>
              <w:rPr>
                <w:rFonts w:ascii="Times New Roman" w:hAnsi="Times New Roman"/>
              </w:rPr>
              <w:pict>
                <v:shape id="_x0000_i1029" o:spt="75" type="#_x0000_t75" style="height:19.15pt;width:12.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10&quot;/&gt;&lt;w:removePersonalInformation/&gt;&lt;w:printFractionalCharacterWidth/&gt;&lt;w:stylePaneFormatFilter w:val=&quot;3F01&quot;/&gt;&lt;w:revisionView w:markup=&quot;off&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17F2E&quot;/&gt;&lt;wsp:rsid wsp:val=&quot;00031C1D&quot;/&gt;&lt;wsp:rsid wsp:val=&quot;0003745F&quot;/&gt;&lt;wsp:rsid wsp:val=&quot;0005081E&quot;/&gt;&lt;wsp:rsid wsp:val=&quot;00070789&quot;/&gt;&lt;wsp:rsid wsp:val=&quot;0008129F&quot;/&gt;&lt;wsp:rsid wsp:val=&quot;0009010D&quot;/&gt;&lt;wsp:rsid wsp:val=&quot;00093E7E&quot;/&gt;&lt;wsp:rsid wsp:val=&quot;000A5A45&quot;/&gt;&lt;wsp:rsid wsp:val=&quot;000C64A2&quot;/&gt;&lt;wsp:rsid wsp:val=&quot;000D000C&quot;/&gt;&lt;wsp:rsid wsp:val=&quot;000D3264&quot;/&gt;&lt;wsp:rsid wsp:val=&quot;000D6CFC&quot;/&gt;&lt;wsp:rsid wsp:val=&quot;000E05EE&quot;/&gt;&lt;wsp:rsid wsp:val=&quot;000E2A0A&quot;/&gt;&lt;wsp:rsid wsp:val=&quot;0010225A&quot;/&gt;&lt;wsp:rsid wsp:val=&quot;001054AF&quot;/&gt;&lt;wsp:rsid wsp:val=&quot;00143924&quot;/&gt;&lt;wsp:rsid wsp:val=&quot;00153528&quot;/&gt;&lt;wsp:rsid wsp:val=&quot;001622D9&quot;/&gt;&lt;wsp:rsid wsp:val=&quot;00177B15&quot;/&gt;&lt;wsp:rsid wsp:val=&quot;001A06CC&quot;/&gt;&lt;wsp:rsid wsp:val=&quot;001A08AA&quot;/&gt;&lt;wsp:rsid wsp:val=&quot;001A5629&quot;/&gt;&lt;wsp:rsid wsp:val=&quot;001D00E8&quot;/&gt;&lt;wsp:rsid wsp:val=&quot;001F3489&quot;/&gt;&lt;wsp:rsid wsp:val=&quot;00202270&quot;/&gt;&lt;wsp:rsid wsp:val=&quot;002138EA&quot;/&gt;&lt;wsp:rsid wsp:val=&quot;00214845&quot;/&gt;&lt;wsp:rsid wsp:val=&quot;00214FBD&quot;/&gt;&lt;wsp:rsid wsp:val=&quot;00222897&quot;/&gt;&lt;wsp:rsid wsp:val=&quot;002231A4&quot;/&gt;&lt;wsp:rsid wsp:val=&quot;002305E7&quot;/&gt;&lt;wsp:rsid wsp:val=&quot;00235394&quot;/&gt;&lt;wsp:rsid wsp:val=&quot;0026179F&quot;/&gt;&lt;wsp:rsid wsp:val=&quot;0026210B&quot;/&gt;&lt;wsp:rsid wsp:val=&quot;00274E1A&quot;/&gt;&lt;wsp:rsid wsp:val=&quot;002771EF&quot;/&gt;&lt;wsp:rsid wsp:val=&quot;00282213&quot;/&gt;&lt;wsp:rsid wsp:val=&quot;00287C48&quot;/&gt;&lt;wsp:rsid wsp:val=&quot;002A2270&quot;/&gt;&lt;wsp:rsid wsp:val=&quot;002A3F9A&quot;/&gt;&lt;wsp:rsid wsp:val=&quot;002F1C59&quot;/&gt;&lt;wsp:rsid wsp:val=&quot;002F4093&quot;/&gt;&lt;wsp:rsid wsp:val=&quot;0030755C&quot;/&gt;&lt;wsp:rsid wsp:val=&quot;00311128&quot;/&gt;&lt;wsp:rsid wsp:val=&quot;00367724&quot;/&gt;&lt;wsp:rsid wsp:val=&quot;00395860&quot;/&gt;&lt;wsp:rsid wsp:val=&quot;003A3BD6&quot;/&gt;&lt;wsp:rsid wsp:val=&quot;003F1D0E&quot;/&gt;&lt;wsp:rsid wsp:val=&quot;003F60AF&quot;/&gt;&lt;wsp:rsid wsp:val=&quot;00402AFD&quot;/&gt;&lt;wsp:rsid wsp:val=&quot;00425B18&quot;/&gt;&lt;wsp:rsid wsp:val=&quot;004379BB&quot;/&gt;&lt;wsp:rsid wsp:val=&quot;004558E8&quot;/&gt;&lt;wsp:rsid wsp:val=&quot;0046540D&quot;/&gt;&lt;wsp:rsid wsp:val=&quot;00480446&quot;/&gt;&lt;wsp:rsid wsp:val=&quot;00486C66&quot;/&gt;&lt;wsp:rsid wsp:val=&quot;00505BCB&quot;/&gt;&lt;wsp:rsid wsp:val=&quot;00505BFA&quot;/&gt;&lt;wsp:rsid wsp:val=&quot;00517B6A&quot;/&gt;&lt;wsp:rsid wsp:val=&quot;0057550E&quot;/&gt;&lt;wsp:rsid wsp:val=&quot;00577E06&quot;/&gt;&lt;wsp:rsid wsp:val=&quot;005870D6&quot;/&gt;&lt;wsp:rsid wsp:val=&quot;005C3B7F&quot;/&gt;&lt;wsp:rsid wsp:val=&quot;005C620E&quot;/&gt;&lt;wsp:rsid wsp:val=&quot;00667CCB&quot;/&gt;&lt;wsp:rsid wsp:val=&quot;006807B7&quot;/&gt;&lt;wsp:rsid wsp:val=&quot;006817EB&quot;/&gt;&lt;wsp:rsid wsp:val=&quot;0069080E&quot;/&gt;&lt;wsp:rsid wsp:val=&quot;006929A6&quot;/&gt;&lt;wsp:rsid wsp:val=&quot;006B40DB&quot;/&gt;&lt;wsp:rsid wsp:val=&quot;006E7A8A&quot;/&gt;&lt;wsp:rsid wsp:val=&quot;006F098F&quot;/&gt;&lt;wsp:rsid wsp:val=&quot;006F4A07&quot;/&gt;&lt;wsp:rsid wsp:val=&quot;0070646B&quot;/&gt;&lt;wsp:rsid wsp:val=&quot;00730912&quot;/&gt;&lt;wsp:rsid wsp:val=&quot;00731514&quot;/&gt;&lt;wsp:rsid wsp:val=&quot;0075188D&quot;/&gt;&lt;wsp:rsid wsp:val=&quot;007728F9&quot;/&gt;&lt;wsp:rsid wsp:val=&quot;007A7FB9&quot;/&gt;&lt;wsp:rsid wsp:val=&quot;007B6BE3&quot;/&gt;&lt;wsp:rsid wsp:val=&quot;007C30F4&quot;/&gt;&lt;wsp:rsid wsp:val=&quot;007F0E1E&quot;/&gt;&lt;wsp:rsid wsp:val=&quot;007F6E04&quot;/&gt;&lt;wsp:rsid wsp:val=&quot;008179B4&quot;/&gt;&lt;wsp:rsid wsp:val=&quot;00820BCB&quot;/&gt;&lt;wsp:rsid wsp:val=&quot;0082142C&quot;/&gt;&lt;wsp:rsid wsp:val=&quot;0085143F&quot;/&gt;&lt;wsp:rsid wsp:val=&quot;008C60E9&quot;/&gt;&lt;wsp:rsid wsp:val=&quot;008F3A31&quot;/&gt;&lt;wsp:rsid wsp:val=&quot;00903F93&quot;/&gt;&lt;wsp:rsid wsp:val=&quot;009509CF&quot;/&gt;&lt;wsp:rsid wsp:val=&quot;00954BB8&quot;/&gt;&lt;wsp:rsid wsp:val=&quot;00961BBF&quot;/&gt;&lt;wsp:rsid wsp:val=&quot;00967EE0&quot;/&gt;&lt;wsp:rsid wsp:val=&quot;00977472&quot;/&gt;&lt;wsp:rsid wsp:val=&quot;00983910&quot;/&gt;&lt;wsp:rsid wsp:val=&quot;0099516D&quot;/&gt;&lt;wsp:rsid wsp:val=&quot;009A7259&quot;/&gt;&lt;wsp:rsid wsp:val=&quot;009C0727&quot;/&gt;&lt;wsp:rsid wsp:val=&quot;009F3764&quot;/&gt;&lt;wsp:rsid wsp:val=&quot;009F6CA9&quot;/&gt;&lt;wsp:rsid wsp:val=&quot;00A17B31&quot;/&gt;&lt;wsp:rsid wsp:val=&quot;00A2706A&quot;/&gt;&lt;wsp:rsid wsp:val=&quot;00A30D97&quot;/&gt;&lt;wsp:rsid wsp:val=&quot;00A32759&quot;/&gt;&lt;wsp:rsid wsp:val=&quot;00A5242A&quot;/&gt;&lt;wsp:rsid wsp:val=&quot;00A57FE8&quot;/&gt;&lt;wsp:rsid wsp:val=&quot;00A63CF5&quot;/&gt;&lt;wsp:rsid wsp:val=&quot;00A81B15&quot;/&gt;&lt;wsp:rsid wsp:val=&quot;00A85DBC&quot;/&gt;&lt;wsp:rsid wsp:val=&quot;00A96AA7&quot;/&gt;&lt;wsp:rsid wsp:val=&quot;00AD4D03&quot;/&gt;&lt;wsp:rsid wsp:val=&quot;00AF6147&quot;/&gt;&lt;wsp:rsid wsp:val=&quot;00B075CA&quot;/&gt;&lt;wsp:rsid wsp:val=&quot;00B27220&quot;/&gt;&lt;wsp:rsid wsp:val=&quot;00B30501&quot;/&gt;&lt;wsp:rsid wsp:val=&quot;00B5089A&quot;/&gt;&lt;wsp:rsid wsp:val=&quot;00B716CE&quot;/&gt;&lt;wsp:rsid wsp:val=&quot;00B8446C&quot;/&gt;&lt;wsp:rsid wsp:val=&quot;00B9684C&quot;/&gt;&lt;wsp:rsid wsp:val=&quot;00BA05A6&quot;/&gt;&lt;wsp:rsid wsp:val=&quot;00BB7BAE&quot;/&gt;&lt;wsp:rsid wsp:val=&quot;00BD0407&quot;/&gt;&lt;wsp:rsid wsp:val=&quot;00BD0CA3&quot;/&gt;&lt;wsp:rsid wsp:val=&quot;00C01A1E&quot;/&gt;&lt;wsp:rsid wsp:val=&quot;00C31A8A&quot;/&gt;&lt;wsp:rsid wsp:val=&quot;00C64174&quot;/&gt;&lt;wsp:rsid wsp:val=&quot;00C67906&quot;/&gt;&lt;wsp:rsid wsp:val=&quot;00C97314&quot;/&gt;&lt;wsp:rsid wsp:val=&quot;00CC5CCF&quot;/&gt;&lt;wsp:rsid wsp:val=&quot;00CD303B&quot;/&gt;&lt;wsp:rsid wsp:val=&quot;00CD6A7D&quot;/&gt;&lt;wsp:rsid wsp:val=&quot;00D022FF&quot;/&gt;&lt;wsp:rsid wsp:val=&quot;00D36225&quot;/&gt;&lt;wsp:rsid wsp:val=&quot;00D42D52&quot;/&gt;&lt;wsp:rsid wsp:val=&quot;00D520E4&quot;/&gt;&lt;wsp:rsid wsp:val=&quot;00D57DFA&quot;/&gt;&lt;wsp:rsid wsp:val=&quot;00D671DA&quot;/&gt;&lt;wsp:rsid wsp:val=&quot;00D715B1&quot;/&gt;&lt;wsp:rsid wsp:val=&quot;00D7222B&quot;/&gt;&lt;wsp:rsid wsp:val=&quot;00D76472&quot;/&gt;&lt;wsp:rsid wsp:val=&quot;00D825B0&quot;/&gt;&lt;wsp:rsid wsp:val=&quot;00D9433D&quot;/&gt;&lt;wsp:rsid wsp:val=&quot;00DB16CF&quot;/&gt;&lt;wsp:rsid wsp:val=&quot;00DD0C2C&quot;/&gt;&lt;wsp:rsid wsp:val=&quot;00DE332E&quot;/&gt;&lt;wsp:rsid wsp:val=&quot;00E23531&quot;/&gt;&lt;wsp:rsid wsp:val=&quot;00E54AC8&quot;/&gt;&lt;wsp:rsid wsp:val=&quot;00E55020&quot;/&gt;&lt;wsp:rsid wsp:val=&quot;00E57B74&quot;/&gt;&lt;wsp:rsid wsp:val=&quot;00E64697&quot;/&gt;&lt;wsp:rsid wsp:val=&quot;00E8629F&quot;/&gt;&lt;wsp:rsid wsp:val=&quot;00EA3C24&quot;/&gt;&lt;wsp:rsid wsp:val=&quot;00EA4FF2&quot;/&gt;&lt;wsp:rsid wsp:val=&quot;00EC0ADF&quot;/&gt;&lt;wsp:rsid wsp:val=&quot;00F072D8&quot;/&gt;&lt;wsp:rsid wsp:val=&quot;00F24A04&quot;/&gt;&lt;wsp:rsid wsp:val=&quot;00F3097C&quot;/&gt;&lt;wsp:rsid wsp:val=&quot;00F81BB4&quot;/&gt;&lt;wsp:rsid wsp:val=&quot;00FC051F&quot;/&gt;&lt;wsp:rsid wsp:val=&quot;00FE03C8&quot;/&gt;&lt;wsp:rsid wsp:val=&quot;00FE7D99&quot;/&gt;&lt;/wsp:rsids&gt;&lt;/w:docPr&gt;&lt;w:body&gt;&lt;wx:sect&gt;&lt;w:p wsp:rsidR=&quot;00000000&quot; wsp:rsidRDefault=&quot;00214845&quot; wsp:rsidP=&quot;00214845&quot;&gt;&lt;m:oMathPara&gt;&lt;m:oMath&gt;&lt;m:r&gt;&lt;aml:annotation aml:id=&quot;0&quot; w:type=&quot;Word.Insertion&quot; aml:author=&quot;Intel User&quot; aml:createdate=&quot;2018-11-14T08:36:00Z&quot;&gt;&lt;aml:content&gt;&lt;w:rPr&gt;&lt;w:rFonts w:ascii=&quot;Cambria Math&quot; w:h-ansi=&quot;Cambria Math&quot;/&gt;&lt;wx:font wx:val=&quot;Cambria Math&quot;/&gt;&lt;w:i/&gt;&lt;/w:rPr&gt;&lt;m:t&gt;φ&lt;/m:t&gt;&lt;/aml:content&gt;&lt;/aml:annotation&gt;&lt;/m:r&gt;&lt;m:r&gt;&lt;aml:annotation aml:id=&quot;1&quot; w:type=&quot;Word.Insertion&quot; aml:author=&quot;Intel User&quot; aml:createdate=&quot;2018-11-14T08tttttt:3 6: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Times New Roman" w:hAnsi="Times New Roman"/>
              </w:rPr>
              <w:fldChar w:fldCharType="end"/>
            </w:r>
            <w:r>
              <w:rPr>
                <w:rFonts w:ascii="Times New Roman" w:hAnsi="Times New Roman"/>
              </w:rPr>
              <w:t xml:space="preserve"> dim (dB)</w:t>
            </w:r>
          </w:p>
        </w:tc>
        <w:tc>
          <w:tcPr>
            <w:tcW w:w="6412" w:type="dxa"/>
            <w:vAlign w:val="center"/>
          </w:tcPr>
          <w:p>
            <w:pPr>
              <w:pStyle w:val="57"/>
              <w:rPr>
                <w:rFonts w:ascii="Times New Roman" w:hAnsi="Times New Roman"/>
              </w:rPr>
            </w:pPr>
            <w:r>
              <w:rPr>
                <w:rFonts w:ascii="Times New Roman" w:hAnsi="Times New Roman"/>
              </w:rPr>
              <w:object>
                <v:shape id="_x0000_i1030" o:spt="75" type="#_x0000_t75" style="height:42.05pt;width:240.55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26" r:id="rId1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93" w:type="dxa"/>
            <w:shd w:val="clear" w:color="auto" w:fill="auto"/>
            <w:vAlign w:val="center"/>
          </w:tcPr>
          <w:p>
            <w:pPr>
              <w:pStyle w:val="57"/>
              <w:rPr>
                <w:rFonts w:ascii="Times New Roman" w:hAnsi="Times New Roman"/>
              </w:rPr>
            </w:pPr>
            <w:r>
              <w:rPr>
                <w:rFonts w:ascii="Times New Roman" w:hAnsi="Times New Roman"/>
              </w:rPr>
              <w:t>Combining method for 3D antenna element pattern (dB)</w:t>
            </w:r>
          </w:p>
        </w:tc>
        <w:tc>
          <w:tcPr>
            <w:tcW w:w="6412" w:type="dxa"/>
            <w:vAlign w:val="center"/>
          </w:tcPr>
          <w:p>
            <w:pPr>
              <w:pStyle w:val="57"/>
              <w:rPr>
                <w:rFonts w:ascii="Times New Roman" w:hAnsi="Times New Roman"/>
              </w:rPr>
            </w:pPr>
            <w:r>
              <w:rPr>
                <w:rFonts w:ascii="Times New Roman" w:hAnsi="Times New Roman"/>
              </w:rPr>
              <w:object>
                <v:shape id="_x0000_i1031" o:spt="75" type="#_x0000_t75" style="height:17.5pt;width:211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27" r:id="rId1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93" w:type="dxa"/>
            <w:shd w:val="clear" w:color="auto" w:fill="auto"/>
            <w:vAlign w:val="center"/>
          </w:tcPr>
          <w:p>
            <w:pPr>
              <w:pStyle w:val="57"/>
              <w:rPr>
                <w:rFonts w:ascii="Times New Roman" w:hAnsi="Times New Roman"/>
              </w:rPr>
            </w:pPr>
            <w:r>
              <w:rPr>
                <w:rFonts w:ascii="Times New Roman" w:hAnsi="Times New Roman"/>
              </w:rPr>
              <w:t>Maximum directional gain of an antenna element GE, max</w:t>
            </w:r>
          </w:p>
        </w:tc>
        <w:tc>
          <w:tcPr>
            <w:tcW w:w="6412" w:type="dxa"/>
            <w:vAlign w:val="center"/>
          </w:tcPr>
          <w:p>
            <w:pPr>
              <w:pStyle w:val="57"/>
              <w:rPr>
                <w:rFonts w:ascii="Times New Roman" w:hAnsi="Times New Roman"/>
              </w:rPr>
            </w:pPr>
            <w:r>
              <w:rPr>
                <w:rFonts w:ascii="Times New Roman" w:hAnsi="Times New Roman"/>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93" w:type="dxa"/>
            <w:shd w:val="clear" w:color="auto" w:fill="auto"/>
            <w:vAlign w:val="center"/>
          </w:tcPr>
          <w:p>
            <w:pPr>
              <w:pStyle w:val="57"/>
              <w:rPr>
                <w:rFonts w:ascii="Times New Roman" w:hAnsi="Times New Roman"/>
              </w:rPr>
            </w:pPr>
          </w:p>
        </w:tc>
        <w:tc>
          <w:tcPr>
            <w:tcW w:w="6412" w:type="dxa"/>
            <w:vAlign w:val="center"/>
          </w:tcPr>
          <w:p>
            <w:pPr>
              <w:pStyle w:val="57"/>
              <w:rPr>
                <w:rFonts w:ascii="Times New Roman" w:hAnsi="Times New Roman"/>
              </w:rPr>
            </w:pPr>
            <w:r>
              <w:rPr>
                <w:rFonts w:ascii="Times New Roman" w:hAnsi="Times New Roman"/>
              </w:rPr>
              <w:t xml:space="preserve">Note: </w:t>
            </w:r>
            <w:r>
              <w:rPr>
                <w:rFonts w:ascii="Times New Roman" w:hAnsi="Times New Roman"/>
              </w:rPr>
              <w:object>
                <v:shape id="_x0000_i1032" o:spt="75" type="#_x0000_t75" style="height:17.5pt;width:37.45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28" r:id="rId14">
                  <o:LockedField>false</o:LockedField>
                </o:OLEObject>
              </w:object>
            </w:r>
            <w:r>
              <w:rPr>
                <w:rFonts w:ascii="Times New Roman" w:hAnsi="Times New Roman"/>
              </w:rPr>
              <w:t xml:space="preserve"> are in local coordinate system.</w:t>
            </w:r>
          </w:p>
        </w:tc>
      </w:tr>
    </w:tbl>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pStyle w:val="2"/>
        <w:numPr>
          <w:ilvl w:val="0"/>
          <w:numId w:val="0"/>
        </w:numPr>
        <w:snapToGrid w:val="0"/>
        <w:spacing w:before="180" w:beforeLines="50" w:after="180" w:afterLines="50"/>
        <w:rPr>
          <w:sz w:val="28"/>
          <w:szCs w:val="28"/>
          <w:lang w:val="en-US"/>
        </w:rPr>
      </w:pPr>
      <w:r>
        <w:rPr>
          <w:sz w:val="28"/>
          <w:szCs w:val="28"/>
          <w:lang w:val="en-US"/>
        </w:rPr>
        <w:t>Appendix B</w:t>
      </w:r>
    </w:p>
    <w:p>
      <w:pPr>
        <w:pStyle w:val="58"/>
        <w:rPr>
          <w:rFonts w:ascii="Times New Roman" w:hAnsi="Times New Roman"/>
        </w:rPr>
      </w:pPr>
      <w:r>
        <w:rPr>
          <w:rFonts w:ascii="Times New Roman" w:hAnsi="Times New Roman"/>
        </w:rPr>
        <w:t>Table 7.8-7: Simulation assumptions for large scale calibration for the indoor factory scenario</w:t>
      </w:r>
    </w:p>
    <w:tbl>
      <w:tblPr>
        <w:tblStyle w:val="23"/>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7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shd w:val="clear" w:color="auto" w:fill="D9D9D9"/>
          </w:tcPr>
          <w:p>
            <w:pPr>
              <w:pStyle w:val="55"/>
              <w:rPr>
                <w:rFonts w:ascii="Times New Roman" w:hAnsi="Times New Roman"/>
                <w:b w:val="0"/>
              </w:rPr>
            </w:pPr>
            <w:r>
              <w:rPr>
                <w:rFonts w:ascii="Times New Roman" w:hAnsi="Times New Roman"/>
              </w:rPr>
              <w:t>Parameter</w:t>
            </w:r>
          </w:p>
        </w:tc>
        <w:tc>
          <w:tcPr>
            <w:tcW w:w="7225" w:type="dxa"/>
            <w:tcBorders>
              <w:top w:val="single" w:color="auto" w:sz="4" w:space="0"/>
              <w:left w:val="single" w:color="auto" w:sz="4" w:space="0"/>
              <w:bottom w:val="single" w:color="auto" w:sz="4" w:space="0"/>
              <w:right w:val="single" w:color="auto" w:sz="4" w:space="0"/>
            </w:tcBorders>
            <w:shd w:val="clear" w:color="auto" w:fill="D9D9D9"/>
          </w:tcPr>
          <w:p>
            <w:pPr>
              <w:pStyle w:val="55"/>
              <w:rPr>
                <w:rFonts w:ascii="Times New Roman" w:hAnsi="Times New Roman"/>
                <w:b w:val="0"/>
              </w:rPr>
            </w:pPr>
            <w:r>
              <w:rPr>
                <w:rFonts w:ascii="Times New Roman" w:hAnsi="Times New Roma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Scenario</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InF-SL, InF-DL, InF-SH, 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Hall size</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sz w:val="18"/>
                <w:szCs w:val="18"/>
              </w:rPr>
            </w:pPr>
            <w:r>
              <w:rPr>
                <w:rFonts w:ascii="Times New Roman" w:hAnsi="Times New Roman"/>
                <w:sz w:val="18"/>
                <w:szCs w:val="18"/>
              </w:rPr>
              <w:t>InF-SL: 120x60 m</w:t>
            </w:r>
          </w:p>
          <w:p>
            <w:pPr>
              <w:keepNext/>
              <w:keepLines/>
              <w:spacing w:after="0"/>
              <w:rPr>
                <w:rFonts w:ascii="Times New Roman" w:hAnsi="Times New Roman"/>
                <w:sz w:val="18"/>
                <w:szCs w:val="18"/>
              </w:rPr>
            </w:pPr>
            <w:r>
              <w:rPr>
                <w:rFonts w:ascii="Times New Roman" w:hAnsi="Times New Roman"/>
                <w:sz w:val="18"/>
                <w:szCs w:val="18"/>
              </w:rPr>
              <w:t>InF-DL: 300x150 m</w:t>
            </w:r>
          </w:p>
          <w:p>
            <w:pPr>
              <w:keepNext/>
              <w:keepLines/>
              <w:spacing w:after="0"/>
              <w:rPr>
                <w:rFonts w:ascii="Times New Roman" w:hAnsi="Times New Roman"/>
                <w:sz w:val="18"/>
                <w:szCs w:val="18"/>
              </w:rPr>
            </w:pPr>
            <w:r>
              <w:rPr>
                <w:rFonts w:ascii="Times New Roman" w:hAnsi="Times New Roman"/>
                <w:sz w:val="18"/>
                <w:szCs w:val="18"/>
              </w:rPr>
              <w:t>InF-SH: 300x150 m</w:t>
            </w:r>
          </w:p>
          <w:p>
            <w:pPr>
              <w:keepNext/>
              <w:keepLines/>
              <w:spacing w:after="0"/>
              <w:rPr>
                <w:rFonts w:ascii="Times New Roman" w:hAnsi="Times New Roman" w:eastAsia="宋体"/>
                <w:sz w:val="18"/>
                <w:szCs w:val="18"/>
              </w:rPr>
            </w:pPr>
            <w:r>
              <w:rPr>
                <w:rFonts w:ascii="Times New Roman" w:hAnsi="Times New Roman"/>
                <w:sz w:val="18"/>
                <w:szCs w:val="18"/>
              </w:rPr>
              <w:t>InF-DH: 120x60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Room height</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Sectorization</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lang w:eastAsia="ko-KR"/>
              </w:rPr>
            </w:pPr>
            <w:r>
              <w:rPr>
                <w:rFonts w:ascii="Times New Roman" w:hAnsi="Times New Roman" w:eastAsia="宋体"/>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Times New Roman" w:hAnsi="Times New Roman" w:eastAsia="宋体"/>
                <w:sz w:val="18"/>
                <w:szCs w:val="18"/>
              </w:rPr>
            </w:pPr>
            <w:r>
              <w:rPr>
                <w:rFonts w:ascii="Times New Roman" w:hAnsi="Times New Roman" w:eastAsia="宋体"/>
                <w:sz w:val="18"/>
                <w:szCs w:val="18"/>
              </w:rPr>
              <w:t>BS antenna configurations</w:t>
            </w:r>
          </w:p>
        </w:tc>
        <w:tc>
          <w:tcPr>
            <w:tcW w:w="722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Times New Roman" w:hAnsi="Times New Roman" w:eastAsia="宋体"/>
                <w:sz w:val="18"/>
                <w:szCs w:val="18"/>
              </w:rPr>
            </w:pPr>
            <w:r>
              <w:rPr>
                <w:rFonts w:ascii="Times New Roman" w:hAnsi="Times New Roman" w:eastAsia="宋体"/>
                <w:sz w:val="18"/>
                <w:szCs w:val="18"/>
              </w:rPr>
              <w:t xml:space="preserve">1 element (vertically polarized), </w:t>
            </w:r>
            <w:r>
              <w:rPr>
                <w:rFonts w:ascii="Times New Roman" w:hAnsi="Times New Roman" w:eastAsia="宋体"/>
                <w:sz w:val="18"/>
                <w:szCs w:val="18"/>
                <w:lang w:eastAsia="ja-JP"/>
              </w:rPr>
              <w:t>Isotropic antenna gain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Times New Roman" w:hAnsi="Times New Roman" w:eastAsia="宋体"/>
                <w:sz w:val="18"/>
                <w:szCs w:val="18"/>
              </w:rPr>
            </w:pPr>
            <w:r>
              <w:rPr>
                <w:rFonts w:ascii="Times New Roman" w:hAnsi="Times New Roman" w:eastAsia="宋体"/>
                <w:sz w:val="18"/>
                <w:szCs w:val="18"/>
              </w:rPr>
              <w:t>UT antenna configurations</w:t>
            </w:r>
          </w:p>
        </w:tc>
        <w:tc>
          <w:tcPr>
            <w:tcW w:w="722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Times New Roman" w:hAnsi="Times New Roman" w:eastAsia="宋体"/>
                <w:sz w:val="18"/>
                <w:szCs w:val="18"/>
              </w:rPr>
            </w:pPr>
            <w:r>
              <w:rPr>
                <w:rFonts w:ascii="Times New Roman" w:hAnsi="Times New Roman" w:eastAsia="宋体"/>
                <w:sz w:val="18"/>
                <w:szCs w:val="18"/>
              </w:rPr>
              <w:t xml:space="preserve">1 element (vertically polarized), </w:t>
            </w:r>
            <w:r>
              <w:rPr>
                <w:rFonts w:ascii="Times New Roman" w:hAnsi="Times New Roman" w:eastAsia="宋体"/>
                <w:sz w:val="18"/>
                <w:szCs w:val="18"/>
                <w:lang w:eastAsia="ja-JP"/>
              </w:rPr>
              <w:t>Isotropic antenna gain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Handover margin (for calibration)</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Times New Roman" w:hAnsi="Times New Roman" w:eastAsia="宋体"/>
                <w:sz w:val="18"/>
                <w:szCs w:val="18"/>
              </w:rPr>
            </w:pPr>
            <w:r>
              <w:rPr>
                <w:rFonts w:ascii="Times New Roman" w:hAnsi="Times New Roman" w:eastAsia="宋体"/>
                <w:sz w:val="18"/>
                <w:szCs w:val="18"/>
              </w:rPr>
              <w:t>BS deployment</w:t>
            </w:r>
          </w:p>
        </w:tc>
        <w:tc>
          <w:tcPr>
            <w:tcW w:w="7225" w:type="dxa"/>
            <w:tcBorders>
              <w:top w:val="single" w:color="auto" w:sz="4" w:space="0"/>
              <w:left w:val="single" w:color="auto" w:sz="4" w:space="0"/>
              <w:bottom w:val="single" w:color="auto" w:sz="4" w:space="0"/>
              <w:right w:val="single" w:color="auto" w:sz="4" w:space="0"/>
            </w:tcBorders>
            <w:vAlign w:val="center"/>
          </w:tcPr>
          <w:p>
            <w:pPr>
              <w:spacing w:after="160" w:line="252" w:lineRule="auto"/>
              <w:rPr>
                <w:rFonts w:ascii="Times New Roman" w:hAnsi="Times New Roman"/>
                <w:sz w:val="18"/>
                <w:szCs w:val="18"/>
              </w:rPr>
            </w:pPr>
            <w:r>
              <w:rPr>
                <w:rFonts w:ascii="Times New Roman" w:hAnsi="Times New Roman"/>
                <w:sz w:val="18"/>
                <w:szCs w:val="18"/>
              </w:rPr>
              <w:t>18 BSs on a square lattice with spacing D, located D/2 from the walls.</w:t>
            </w:r>
          </w:p>
          <w:p>
            <w:pPr>
              <w:pStyle w:val="79"/>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r>
            <w:r>
              <w:rPr>
                <w:rFonts w:ascii="Times New Roman" w:hAnsi="Times New Roman"/>
                <w:sz w:val="18"/>
                <w:szCs w:val="18"/>
              </w:rPr>
              <w:t>for the small hall (L=120m x W=60m): D=20m</w:t>
            </w:r>
          </w:p>
          <w:p>
            <w:pPr>
              <w:pStyle w:val="79"/>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r>
            <w:r>
              <w:rPr>
                <w:rFonts w:ascii="Times New Roman" w:hAnsi="Times New Roman"/>
                <w:sz w:val="18"/>
                <w:szCs w:val="18"/>
              </w:rPr>
              <w:t>for the big hall (L=300m x W=150m): D=50m</w:t>
            </w:r>
          </w:p>
          <w:p>
            <w:pPr>
              <w:keepNext/>
              <w:keepLines/>
              <w:spacing w:after="0"/>
              <w:rPr>
                <w:rFonts w:ascii="Times New Roman" w:hAnsi="Times New Roman" w:eastAsia="宋体"/>
                <w:sz w:val="18"/>
                <w:szCs w:val="18"/>
              </w:rPr>
            </w:pPr>
            <w:r>
              <w:rPr>
                <w:rFonts w:ascii="Times New Roman" w:hAnsi="Times New Roman" w:eastAsia="宋体"/>
                <w:sz w:val="18"/>
                <w:szCs w:val="18"/>
              </w:rPr>
              <w:drawing>
                <wp:inline distT="0" distB="0" distL="0" distR="0">
                  <wp:extent cx="3257550" cy="1720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60343" cy="1722240"/>
                          </a:xfrm>
                          <a:prstGeom prst="rect">
                            <a:avLst/>
                          </a:prstGeom>
                          <a:noFill/>
                          <a:ln>
                            <a:noFill/>
                          </a:ln>
                        </pic:spPr>
                      </pic:pic>
                    </a:graphicData>
                  </a:graphic>
                </wp:inline>
              </w:drawing>
            </w:r>
          </w:p>
          <w:p>
            <w:pPr>
              <w:keepNext/>
              <w:keepLines/>
              <w:spacing w:after="0"/>
              <w:rPr>
                <w:rFonts w:ascii="Times New Roman" w:hAnsi="Times New Roman" w:eastAsia="宋体"/>
                <w:sz w:val="18"/>
                <w:szCs w:val="18"/>
              </w:rPr>
            </w:pPr>
            <w:r>
              <w:rPr>
                <w:rFonts w:ascii="Times New Roman" w:hAnsi="Times New Roman" w:eastAsia="宋体"/>
                <w:sz w:val="18"/>
                <w:szCs w:val="18"/>
              </w:rPr>
              <w:t>BS height = 1.5 m for InF-SL and InF-DL</w:t>
            </w:r>
          </w:p>
          <w:p>
            <w:pPr>
              <w:keepNext/>
              <w:keepLines/>
              <w:spacing w:after="0"/>
              <w:rPr>
                <w:rFonts w:ascii="Times New Roman" w:hAnsi="Times New Roman" w:eastAsia="宋体"/>
                <w:sz w:val="18"/>
                <w:szCs w:val="18"/>
              </w:rPr>
            </w:pPr>
            <w:r>
              <w:rPr>
                <w:rFonts w:ascii="Times New Roman" w:hAnsi="Times New Roman" w:eastAsia="宋体"/>
                <w:sz w:val="18"/>
                <w:szCs w:val="18"/>
              </w:rPr>
              <w:t>BS-height = 8 m for for InF-SH and 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Times New Roman" w:hAnsi="Times New Roman" w:eastAsia="宋体"/>
                <w:sz w:val="18"/>
                <w:szCs w:val="18"/>
              </w:rPr>
            </w:pPr>
            <w:r>
              <w:rPr>
                <w:rFonts w:ascii="Times New Roman" w:hAnsi="Times New Roman" w:eastAsia="宋体"/>
                <w:sz w:val="18"/>
                <w:szCs w:val="18"/>
              </w:rPr>
              <w:t xml:space="preserve">UT distribution </w:t>
            </w:r>
          </w:p>
        </w:tc>
        <w:tc>
          <w:tcPr>
            <w:tcW w:w="722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Times New Roman" w:hAnsi="Times New Roman" w:eastAsia="宋体"/>
                <w:sz w:val="18"/>
                <w:szCs w:val="18"/>
              </w:rPr>
            </w:pPr>
            <w:r>
              <w:rPr>
                <w:rFonts w:ascii="Times New Roman" w:hAnsi="Times New Roman" w:eastAsia="宋体"/>
                <w:sz w:val="18"/>
                <w:szCs w:val="18"/>
              </w:rPr>
              <w:t>uniform dropping for indoor with minimum 2D distance of 1 m</w:t>
            </w:r>
          </w:p>
          <w:p>
            <w:pPr>
              <w:keepNext/>
              <w:keepLines/>
              <w:spacing w:after="0"/>
              <w:rPr>
                <w:rFonts w:ascii="Times New Roman" w:hAnsi="Times New Roman" w:eastAsia="宋体"/>
                <w:sz w:val="18"/>
                <w:szCs w:val="18"/>
              </w:rPr>
            </w:pPr>
            <w:r>
              <w:rPr>
                <w:rFonts w:ascii="Times New Roman" w:hAnsi="Times New Roman" w:eastAsia="宋体"/>
                <w:sz w:val="18"/>
                <w:szCs w:val="18"/>
              </w:rPr>
              <w:t>UT height = 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UT attachment</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 xml:space="preserve">Based on pathloss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UT noise figure</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Carrier frequency</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3.5 GHz, 28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Bandwidth</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sz w:val="18"/>
              </w:rPr>
              <w:t xml:space="preserve">Clutter density: </w:t>
            </w:r>
            <m:oMath>
              <m:r>
                <w:rPr>
                  <w:rFonts w:ascii="Cambria Math" w:hAnsi="Cambria Math"/>
                  <w:sz w:val="18"/>
                  <w:szCs w:val="18"/>
                </w:rPr>
                <m:t>r</m:t>
              </m:r>
            </m:oMath>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Low clutter density: 20%</w:t>
            </w:r>
          </w:p>
          <w:p>
            <w:pPr>
              <w:keepNext/>
              <w:keepLines/>
              <w:spacing w:after="0"/>
              <w:rPr>
                <w:rFonts w:ascii="Times New Roman" w:hAnsi="Times New Roman" w:eastAsia="宋体"/>
                <w:sz w:val="18"/>
                <w:szCs w:val="18"/>
              </w:rPr>
            </w:pPr>
            <w:r>
              <w:rPr>
                <w:rFonts w:ascii="Times New Roman" w:hAnsi="Times New Roman" w:eastAsia="宋体"/>
                <w:sz w:val="18"/>
                <w:szCs w:val="18"/>
              </w:rPr>
              <w:t>High clutter density: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sz w:val="18"/>
              </w:rPr>
            </w:pPr>
            <w:r>
              <w:rPr>
                <w:rFonts w:ascii="Times New Roman" w:hAnsi="Times New Roman"/>
                <w:sz w:val="18"/>
              </w:rPr>
              <w:t xml:space="preserve">Clutter height: </w:t>
            </w:r>
            <m:oMath>
              <m:sSub>
                <m:sSubPr>
                  <m:ctrlPr>
                    <w:rPr>
                      <w:rFonts w:ascii="Cambria Math" w:hAnsi="Cambria Math"/>
                      <w:i/>
                      <w:sz w:val="18"/>
                      <w:szCs w:val="18"/>
                    </w:rPr>
                  </m:ctrlPr>
                </m:sSubPr>
                <m:e>
                  <m:r>
                    <w:rPr>
                      <w:rFonts w:ascii="Cambria Math" w:hAnsi="Cambria Math"/>
                      <w:sz w:val="18"/>
                    </w:rPr>
                    <m:t>h</m:t>
                  </m:r>
                  <m:ctrlPr>
                    <w:rPr>
                      <w:rFonts w:ascii="Cambria Math" w:hAnsi="Cambria Math"/>
                      <w:i/>
                      <w:sz w:val="18"/>
                      <w:szCs w:val="18"/>
                    </w:rPr>
                  </m:ctrlPr>
                </m:e>
                <m:sub>
                  <m:r>
                    <w:rPr>
                      <w:rFonts w:ascii="Cambria Math" w:hAnsi="Cambria Math"/>
                      <w:sz w:val="18"/>
                      <w:lang w:val="de-DE"/>
                    </w:rPr>
                    <m:t>c</m:t>
                  </m:r>
                  <m:ctrlPr>
                    <w:rPr>
                      <w:rFonts w:ascii="Cambria Math" w:hAnsi="Cambria Math"/>
                      <w:i/>
                      <w:sz w:val="18"/>
                      <w:szCs w:val="18"/>
                    </w:rPr>
                  </m:ctrlPr>
                </m:sub>
              </m:sSub>
            </m:oMath>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Low clutter density: 2 m</w:t>
            </w:r>
          </w:p>
          <w:p>
            <w:pPr>
              <w:keepNext/>
              <w:keepLines/>
              <w:spacing w:after="0"/>
              <w:rPr>
                <w:rFonts w:ascii="Times New Roman" w:hAnsi="Times New Roman" w:eastAsia="宋体"/>
                <w:sz w:val="18"/>
                <w:szCs w:val="18"/>
              </w:rPr>
            </w:pPr>
            <w:r>
              <w:rPr>
                <w:rFonts w:ascii="Times New Roman" w:hAnsi="Times New Roman" w:eastAsia="宋体"/>
                <w:sz w:val="18"/>
                <w:szCs w:val="18"/>
              </w:rPr>
              <w:t>High clutter density: 6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406"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sz w:val="18"/>
              </w:rPr>
            </w:pPr>
            <w:r>
              <w:rPr>
                <w:rFonts w:ascii="Times New Roman" w:hAnsi="Times New Roman"/>
                <w:sz w:val="18"/>
              </w:rPr>
              <w:t xml:space="preserve">Clutter size: </w:t>
            </w:r>
            <m:oMath>
              <m:sSub>
                <m:sSubPr>
                  <m:ctrlPr>
                    <w:rPr>
                      <w:rFonts w:ascii="Cambria Math" w:hAnsi="Cambria Math"/>
                      <w:i/>
                      <w:sz w:val="18"/>
                      <w:szCs w:val="18"/>
                    </w:rPr>
                  </m:ctrlPr>
                </m:sSubPr>
                <m:e>
                  <m:r>
                    <w:rPr>
                      <w:rFonts w:ascii="Cambria Math" w:hAnsi="Cambria Math"/>
                      <w:sz w:val="18"/>
                      <w:lang w:val="de-DE"/>
                    </w:rPr>
                    <m:t>d</m:t>
                  </m:r>
                  <m:ctrlPr>
                    <w:rPr>
                      <w:rFonts w:ascii="Cambria Math" w:hAnsi="Cambria Math"/>
                      <w:i/>
                      <w:sz w:val="18"/>
                      <w:szCs w:val="18"/>
                    </w:rPr>
                  </m:ctrlPr>
                </m:e>
                <m:sub>
                  <m:r>
                    <w:rPr>
                      <w:rFonts w:ascii="Cambria Math" w:hAnsi="Cambria Math"/>
                      <w:sz w:val="18"/>
                      <w:lang w:val="de-DE"/>
                    </w:rPr>
                    <m:t>clutter</m:t>
                  </m:r>
                  <m:ctrlPr>
                    <w:rPr>
                      <w:rFonts w:ascii="Cambria Math" w:hAnsi="Cambria Math"/>
                      <w:i/>
                      <w:sz w:val="18"/>
                      <w:szCs w:val="18"/>
                    </w:rPr>
                  </m:ctrlPr>
                </m:sub>
              </m:sSub>
            </m:oMath>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Low clutter density: 10 m</w:t>
            </w:r>
          </w:p>
          <w:p>
            <w:pPr>
              <w:keepNext/>
              <w:keepLines/>
              <w:spacing w:after="0"/>
              <w:rPr>
                <w:rFonts w:ascii="Times New Roman" w:hAnsi="Times New Roman" w:eastAsia="宋体"/>
                <w:sz w:val="18"/>
                <w:szCs w:val="18"/>
              </w:rPr>
            </w:pPr>
            <w:r>
              <w:rPr>
                <w:rFonts w:ascii="Times New Roman" w:hAnsi="Times New Roman" w:eastAsia="宋体"/>
                <w:sz w:val="18"/>
                <w:szCs w:val="18"/>
              </w:rPr>
              <w:t>High clutter density: 2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 w:hRule="atLeast"/>
          <w:jc w:val="center"/>
        </w:trPr>
        <w:tc>
          <w:tcPr>
            <w:tcW w:w="2406" w:type="dxa"/>
            <w:vMerge w:val="restart"/>
            <w:tcBorders>
              <w:top w:val="single" w:color="auto" w:sz="4" w:space="0"/>
              <w:left w:val="single" w:color="auto" w:sz="4" w:space="0"/>
              <w:right w:val="single" w:color="auto" w:sz="4" w:space="0"/>
            </w:tcBorders>
          </w:tcPr>
          <w:p>
            <w:pPr>
              <w:keepNext/>
              <w:keepLines/>
              <w:spacing w:after="0"/>
              <w:rPr>
                <w:rFonts w:ascii="Times New Roman" w:hAnsi="Times New Roman"/>
                <w:sz w:val="18"/>
              </w:rPr>
            </w:pPr>
            <w:r>
              <w:rPr>
                <w:rFonts w:ascii="Times New Roman" w:hAnsi="Times New Roman"/>
                <w:sz w:val="18"/>
              </w:rPr>
              <w:t>Metrics</w:t>
            </w: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1) Coupling loss –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jc w:val="center"/>
        </w:trPr>
        <w:tc>
          <w:tcPr>
            <w:tcW w:w="2406" w:type="dxa"/>
            <w:vMerge w:val="continue"/>
            <w:tcBorders>
              <w:left w:val="single" w:color="auto" w:sz="4" w:space="0"/>
              <w:right w:val="single" w:color="auto" w:sz="4" w:space="0"/>
            </w:tcBorders>
          </w:tcPr>
          <w:p>
            <w:pPr>
              <w:keepNext/>
              <w:keepLines/>
              <w:spacing w:after="0"/>
              <w:rPr>
                <w:rFonts w:ascii="Times New Roman" w:hAnsi="Times New Roman"/>
                <w:sz w:val="18"/>
              </w:rPr>
            </w:pP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2) Geometry with and without noise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jc w:val="center"/>
        </w:trPr>
        <w:tc>
          <w:tcPr>
            <w:tcW w:w="2406" w:type="dxa"/>
            <w:vMerge w:val="continue"/>
            <w:tcBorders>
              <w:left w:val="single" w:color="auto" w:sz="4" w:space="0"/>
              <w:right w:val="single" w:color="auto" w:sz="4" w:space="0"/>
            </w:tcBorders>
          </w:tcPr>
          <w:p>
            <w:pPr>
              <w:keepNext/>
              <w:keepLines/>
              <w:spacing w:after="0"/>
              <w:rPr>
                <w:rFonts w:ascii="Times New Roman" w:hAnsi="Times New Roman"/>
                <w:sz w:val="18"/>
              </w:rPr>
            </w:pP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3) CDF of delay and angle spread (ASD, ZSD, ASA, ZSA) according to the definition in Annex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 w:hRule="atLeast"/>
          <w:jc w:val="center"/>
        </w:trPr>
        <w:tc>
          <w:tcPr>
            <w:tcW w:w="2406" w:type="dxa"/>
            <w:vMerge w:val="continue"/>
            <w:tcBorders>
              <w:left w:val="single" w:color="auto" w:sz="4" w:space="0"/>
              <w:bottom w:val="single" w:color="auto" w:sz="4" w:space="0"/>
              <w:right w:val="single" w:color="auto" w:sz="4" w:space="0"/>
            </w:tcBorders>
          </w:tcPr>
          <w:p>
            <w:pPr>
              <w:keepNext/>
              <w:keepLines/>
              <w:spacing w:after="0"/>
              <w:rPr>
                <w:rFonts w:ascii="Times New Roman" w:hAnsi="Times New Roman"/>
                <w:sz w:val="18"/>
              </w:rPr>
            </w:pPr>
          </w:p>
        </w:tc>
        <w:tc>
          <w:tcPr>
            <w:tcW w:w="7225" w:type="dxa"/>
            <w:tcBorders>
              <w:top w:val="single" w:color="auto" w:sz="4" w:space="0"/>
              <w:left w:val="single" w:color="auto" w:sz="4" w:space="0"/>
              <w:bottom w:val="single" w:color="auto" w:sz="4" w:space="0"/>
              <w:right w:val="single" w:color="auto" w:sz="4" w:space="0"/>
            </w:tcBorders>
          </w:tcPr>
          <w:p>
            <w:pPr>
              <w:keepNext/>
              <w:keepLines/>
              <w:spacing w:after="0"/>
              <w:rPr>
                <w:rFonts w:ascii="Times New Roman" w:hAnsi="Times New Roman" w:eastAsia="宋体"/>
                <w:sz w:val="18"/>
                <w:szCs w:val="18"/>
              </w:rPr>
            </w:pPr>
            <w:r>
              <w:rPr>
                <w:rFonts w:ascii="Times New Roman" w:hAnsi="Times New Roman" w:eastAsia="宋体"/>
                <w:sz w:val="18"/>
                <w:szCs w:val="18"/>
              </w:rPr>
              <w:t>4) CDF of first path excess delay for serving cell</w:t>
            </w:r>
          </w:p>
        </w:tc>
      </w:tr>
    </w:tbl>
    <w:p>
      <w:pPr>
        <w:snapToGrid w:val="0"/>
        <w:spacing w:after="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981C45"/>
    <w:multiLevelType w:val="singleLevel"/>
    <w:tmpl w:val="90981C45"/>
    <w:lvl w:ilvl="0" w:tentative="0">
      <w:start w:val="1"/>
      <w:numFmt w:val="bullet"/>
      <w:lvlText w:val="−"/>
      <w:lvlJc w:val="left"/>
      <w:pPr>
        <w:tabs>
          <w:tab w:val="left" w:pos="420"/>
        </w:tabs>
        <w:ind w:left="840" w:hanging="420"/>
      </w:pPr>
      <w:rPr>
        <w:rFonts w:hint="default" w:ascii="Arial" w:hAnsi="Arial" w:cs="Arial"/>
      </w:rPr>
    </w:lvl>
  </w:abstractNum>
  <w:abstractNum w:abstractNumId="1">
    <w:nsid w:val="B317893E"/>
    <w:multiLevelType w:val="singleLevel"/>
    <w:tmpl w:val="B317893E"/>
    <w:lvl w:ilvl="0" w:tentative="0">
      <w:start w:val="1"/>
      <w:numFmt w:val="decimal"/>
      <w:suff w:val="space"/>
      <w:lvlText w:val="[%1]"/>
      <w:lvlJc w:val="left"/>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20"/>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45"/>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9C4"/>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E8"/>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3BF"/>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C1A"/>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5A08"/>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22D"/>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654"/>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036"/>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5F83"/>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6FCE"/>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074"/>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A26"/>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BDE"/>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8D5"/>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65"/>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5F74"/>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01EBA"/>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E62D7"/>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1409A3"/>
    <w:rsid w:val="161971DA"/>
    <w:rsid w:val="163E0BDC"/>
    <w:rsid w:val="164129F4"/>
    <w:rsid w:val="16446CE1"/>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35D0"/>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879A7"/>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240B0"/>
    <w:rsid w:val="22550A45"/>
    <w:rsid w:val="22583396"/>
    <w:rsid w:val="22663911"/>
    <w:rsid w:val="22677532"/>
    <w:rsid w:val="226D0C21"/>
    <w:rsid w:val="226F2BB2"/>
    <w:rsid w:val="22721973"/>
    <w:rsid w:val="22721E20"/>
    <w:rsid w:val="22882272"/>
    <w:rsid w:val="229C146B"/>
    <w:rsid w:val="229F5B62"/>
    <w:rsid w:val="22A87E85"/>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23A87"/>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9F7B3E"/>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2486C"/>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061097"/>
    <w:rsid w:val="420D26B5"/>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1956"/>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61AAE"/>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949C1"/>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C9046F"/>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B4492"/>
    <w:rsid w:val="526D0958"/>
    <w:rsid w:val="52734368"/>
    <w:rsid w:val="52836832"/>
    <w:rsid w:val="52924B44"/>
    <w:rsid w:val="529A7E86"/>
    <w:rsid w:val="52AD4907"/>
    <w:rsid w:val="52AE7568"/>
    <w:rsid w:val="52B0158A"/>
    <w:rsid w:val="52B63DBD"/>
    <w:rsid w:val="52B916BC"/>
    <w:rsid w:val="52BF41DD"/>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CE110C"/>
    <w:rsid w:val="59D042FF"/>
    <w:rsid w:val="59D25188"/>
    <w:rsid w:val="59D75E4C"/>
    <w:rsid w:val="59F04440"/>
    <w:rsid w:val="59F141F6"/>
    <w:rsid w:val="59FF3986"/>
    <w:rsid w:val="5A02602A"/>
    <w:rsid w:val="5A0C316C"/>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C6C6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2471F"/>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C3DD6"/>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9B2"/>
    <w:rsid w:val="79CA3BEB"/>
    <w:rsid w:val="79D550AA"/>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emf"/><Relationship Id="rId15" Type="http://schemas.openxmlformats.org/officeDocument/2006/relationships/image" Target="media/image7.wmf"/><Relationship Id="rId14" Type="http://schemas.openxmlformats.org/officeDocument/2006/relationships/oleObject" Target="embeddings/oleObject4.bin"/><Relationship Id="rId13" Type="http://schemas.openxmlformats.org/officeDocument/2006/relationships/image" Target="media/image6.wmf"/><Relationship Id="rId12" Type="http://schemas.openxmlformats.org/officeDocument/2006/relationships/oleObject" Target="embeddings/oleObject3.bin"/><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416DF2-ACF1-43C0-B116-CE7D4CBCD79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2099</Words>
  <Characters>11968</Characters>
  <Lines>99</Lines>
  <Paragraphs>28</Paragraphs>
  <TotalTime>3</TotalTime>
  <ScaleCrop>false</ScaleCrop>
  <LinksUpToDate>false</LinksUpToDate>
  <CharactersWithSpaces>14039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2020-05-15T03:12:23Z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